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附件4-1</w:t>
      </w:r>
    </w:p>
    <w:p>
      <w:pPr>
        <w:adjustRightInd w:val="0"/>
        <w:spacing w:line="560" w:lineRule="exact"/>
        <w:jc w:val="center"/>
        <w:rPr>
          <w:rFonts w:ascii="Times New Roman" w:hAnsi="Times New Roman" w:eastAsia="方正小标宋简体"/>
          <w:b/>
          <w:color w:val="000000" w:themeColor="text1"/>
          <w:sz w:val="44"/>
          <w:szCs w:val="44"/>
          <w14:textFill>
            <w14:solidFill>
              <w14:schemeClr w14:val="tx1"/>
            </w14:solidFill>
          </w14:textFill>
        </w:rPr>
      </w:pPr>
      <w:r>
        <w:rPr>
          <w:rFonts w:ascii="Times New Roman" w:hAnsi="Times New Roman" w:eastAsia="方正小标宋简体"/>
          <w:b/>
          <w:color w:val="000000" w:themeColor="text1"/>
          <w:sz w:val="44"/>
          <w:szCs w:val="44"/>
          <w14:textFill>
            <w14:solidFill>
              <w14:schemeClr w14:val="tx1"/>
            </w14:solidFill>
          </w14:textFill>
        </w:rPr>
        <w:t>洛南县地质灾害防治工作责任划分一览表</w:t>
      </w:r>
    </w:p>
    <w:p>
      <w:pPr>
        <w:adjustRightInd w:val="0"/>
        <w:spacing w:line="240" w:lineRule="exact"/>
        <w:jc w:val="center"/>
        <w:rPr>
          <w:rFonts w:ascii="Times New Roman" w:hAnsi="Times New Roman" w:eastAsia="黑体"/>
          <w:color w:val="000000" w:themeColor="text1"/>
          <w:sz w:val="36"/>
          <w:szCs w:val="36"/>
          <w14:textFill>
            <w14:solidFill>
              <w14:schemeClr w14:val="tx1"/>
            </w14:solidFill>
          </w14:textFill>
        </w:rPr>
      </w:pPr>
    </w:p>
    <w:tbl>
      <w:tblPr>
        <w:tblStyle w:val="3"/>
        <w:tblW w:w="51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4"/>
        <w:gridCol w:w="519"/>
        <w:gridCol w:w="1158"/>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50" w:type="pct"/>
            <w:vAlign w:val="center"/>
          </w:tcPr>
          <w:p>
            <w:pPr>
              <w:adjustRightInd w:val="0"/>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类别</w:t>
            </w:r>
          </w:p>
        </w:tc>
        <w:tc>
          <w:tcPr>
            <w:tcW w:w="286" w:type="pct"/>
            <w:vAlign w:val="center"/>
          </w:tcPr>
          <w:p>
            <w:pPr>
              <w:adjustRightInd w:val="0"/>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序号</w:t>
            </w:r>
          </w:p>
        </w:tc>
        <w:tc>
          <w:tcPr>
            <w:tcW w:w="638" w:type="pct"/>
            <w:vAlign w:val="center"/>
          </w:tcPr>
          <w:p>
            <w:pPr>
              <w:adjustRightInd w:val="0"/>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单位名称</w:t>
            </w:r>
          </w:p>
        </w:tc>
        <w:tc>
          <w:tcPr>
            <w:tcW w:w="3825" w:type="pct"/>
            <w:vAlign w:val="center"/>
          </w:tcPr>
          <w:p>
            <w:pPr>
              <w:adjustRightInd w:val="0"/>
              <w:spacing w:line="24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成员单位职责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trPr>
        <w:tc>
          <w:tcPr>
            <w:tcW w:w="250" w:type="pct"/>
            <w:vMerge w:val="restar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地质</w:t>
            </w:r>
          </w:p>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灾害</w:t>
            </w:r>
          </w:p>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防治</w:t>
            </w:r>
          </w:p>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工作</w:t>
            </w:r>
          </w:p>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成员</w:t>
            </w:r>
          </w:p>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单位</w:t>
            </w:r>
          </w:p>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职责</w:t>
            </w: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县自然</w:t>
            </w:r>
          </w:p>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资源局</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全县地质灾害防治业务工作。负责做好地质灾害防治日常事务的组织、协调、指导、监督；负责检查防治方案的落实情况和突发性灾害的应急调查、处置的技术支撑工作；做好地质灾害易发区内项目可行性论证及危险性评估审查备案工作；与县气象局联合做好汛期地质灾害气象预报预警等工作；做好受地质灾害威胁群众移民搬迁工作；做好地质灾害易发区内建设项目规划选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exac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2</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县行政</w:t>
            </w:r>
          </w:p>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审批局</w:t>
            </w:r>
          </w:p>
        </w:tc>
        <w:tc>
          <w:tcPr>
            <w:tcW w:w="3825" w:type="pct"/>
            <w:vAlign w:val="center"/>
          </w:tcPr>
          <w:p>
            <w:pPr>
              <w:adjustRightInd w:val="0"/>
              <w:spacing w:line="2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负责审核建设项目在可行性研究阶段，是否进行地质灾害危险性评估；否则不予批准其可行性研究报告，不予立项批复。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3</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县财政局</w:t>
            </w:r>
          </w:p>
        </w:tc>
        <w:tc>
          <w:tcPr>
            <w:tcW w:w="3825" w:type="pct"/>
            <w:vAlign w:val="center"/>
          </w:tcPr>
          <w:p>
            <w:pPr>
              <w:adjustRightInd w:val="0"/>
              <w:spacing w:line="240" w:lineRule="exact"/>
              <w:jc w:val="left"/>
              <w:rPr>
                <w:rFonts w:ascii="Times New Roman" w:hAnsi="Times New Roman" w:eastAsia="仿宋_GB2312"/>
                <w:b/>
                <w:color w:val="000000" w:themeColor="text1"/>
                <w:spacing w:val="-8"/>
                <w:szCs w:val="21"/>
                <w14:textFill>
                  <w14:solidFill>
                    <w14:schemeClr w14:val="tx1"/>
                  </w14:solidFill>
                </w14:textFill>
              </w:rPr>
            </w:pPr>
            <w:r>
              <w:rPr>
                <w:rFonts w:ascii="Times New Roman" w:hAnsi="Times New Roman" w:eastAsia="仿宋_GB2312"/>
                <w:color w:val="000000" w:themeColor="text1"/>
                <w:spacing w:val="-8"/>
                <w:szCs w:val="21"/>
                <w14:textFill>
                  <w14:solidFill>
                    <w14:schemeClr w14:val="tx1"/>
                  </w14:solidFill>
                </w14:textFill>
              </w:rPr>
              <w:t>负责落实地质灾害防治工作经费、地质灾害防治工程配套资金及抢险救灾资金。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4</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县经贸局</w:t>
            </w:r>
          </w:p>
        </w:tc>
        <w:tc>
          <w:tcPr>
            <w:tcW w:w="3825" w:type="pct"/>
            <w:vAlign w:val="center"/>
          </w:tcPr>
          <w:p>
            <w:pPr>
              <w:adjustRightInd w:val="0"/>
              <w:spacing w:line="2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负责督促工矿企业做好地质灾害防治工作；负责地质灾害抢险救灾物资的组织、储备和调拨、供应工作。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exac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5</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县住建局</w:t>
            </w:r>
          </w:p>
        </w:tc>
        <w:tc>
          <w:tcPr>
            <w:tcW w:w="3825" w:type="pct"/>
            <w:vAlign w:val="center"/>
          </w:tcPr>
          <w:p>
            <w:pPr>
              <w:adjustRightInd w:val="0"/>
              <w:spacing w:line="240" w:lineRule="exact"/>
              <w:jc w:val="left"/>
              <w:rPr>
                <w:rFonts w:ascii="Times New Roman" w:hAnsi="Times New Roman" w:eastAsia="仿宋_GB2312"/>
                <w:color w:val="000000" w:themeColor="text1"/>
                <w:spacing w:val="-8"/>
                <w:szCs w:val="21"/>
                <w14:textFill>
                  <w14:solidFill>
                    <w14:schemeClr w14:val="tx1"/>
                  </w14:solidFill>
                </w14:textFill>
              </w:rPr>
            </w:pPr>
            <w:r>
              <w:rPr>
                <w:rFonts w:ascii="Times New Roman" w:hAnsi="Times New Roman" w:eastAsia="仿宋_GB2312"/>
                <w:color w:val="000000" w:themeColor="text1"/>
                <w:spacing w:val="-8"/>
                <w:szCs w:val="21"/>
                <w14:textFill>
                  <w14:solidFill>
                    <w14:schemeClr w14:val="tx1"/>
                  </w14:solidFill>
                </w14:textFill>
              </w:rPr>
              <w:t>负责督促项目建设单位按照“三同时制度”做好建设项目地质灾害防治工作。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exac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6</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县水利局</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负责水库、河道及水利设施周边地质灾害防治工作，加强日常巡查、排查，积极组织实施工程治理。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exac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7</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县气象局</w:t>
            </w:r>
          </w:p>
        </w:tc>
        <w:tc>
          <w:tcPr>
            <w:tcW w:w="3825" w:type="pct"/>
            <w:vAlign w:val="center"/>
          </w:tcPr>
          <w:p>
            <w:pPr>
              <w:adjustRightInd w:val="0"/>
              <w:spacing w:line="240" w:lineRule="exact"/>
              <w:jc w:val="left"/>
              <w:rPr>
                <w:rFonts w:ascii="Times New Roman" w:hAnsi="Times New Roman" w:eastAsia="仿宋_GB2312"/>
                <w:b/>
                <w:bCs/>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负责暴雨极端天气的气象预警预报工作，及时向县自然资源局等部门提供长期、中期、短期气象预报，与县自然资源局联合做好汛期地质灾害气象预报预警工作。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8</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县公安局</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负责地质灾害灾区治安管理、安全保卫、交通管制工作，维护地质灾害抢险救灾秩序。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9</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县交通局</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公路交通沿线地质灾害防治工作，对公路沿线的崩塌、滑坡、泥石流等地质灾害进行巡查、排查、监测、预报和工程治理；灾险情发生时，及时组织抢修公路，确保交通不中断；协调调配运输力量，保障抢险救灾物资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10</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县民政局</w:t>
            </w:r>
          </w:p>
        </w:tc>
        <w:tc>
          <w:tcPr>
            <w:tcW w:w="3825" w:type="pct"/>
            <w:vAlign w:val="center"/>
          </w:tcPr>
          <w:p>
            <w:pPr>
              <w:adjustRightInd w:val="0"/>
              <w:spacing w:line="240" w:lineRule="exact"/>
              <w:jc w:val="left"/>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pacing w:val="-6"/>
                <w:szCs w:val="21"/>
                <w14:textFill>
                  <w14:solidFill>
                    <w14:schemeClr w14:val="tx1"/>
                  </w14:solidFill>
                </w14:textFill>
              </w:rPr>
              <w:t>负责地质灾害灾情调查、报告和灾民生活安置、救助工作。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11</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县卫健局</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负责地质灾害灾后防疫和灾民伤病救治工作。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12</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县科教体局</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负责校舍周边的地质灾害巡查、排查、监测、宣传、演练等工作，并积极组织实施工程治理，消除安全隐患。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13</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县文旅局</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负责旅游景区的地质灾害防治工作，督促旅游景区加强日常巡查、排查，积极组织实施工程治理，消除安全隐患。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exac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14</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县应急局</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负责地质灾害灾情发生后的应急抢险及救援工作。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15</w:t>
            </w:r>
          </w:p>
        </w:tc>
        <w:tc>
          <w:tcPr>
            <w:tcW w:w="638"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pacing w:val="-18"/>
                <w:szCs w:val="21"/>
                <w14:textFill>
                  <w14:solidFill>
                    <w14:schemeClr w14:val="tx1"/>
                  </w14:solidFill>
                </w14:textFill>
              </w:rPr>
              <w:t>电信公司、移动公司、联通公司</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负责地质灾害应急抢险救援过程中通讯线路抢修工作，保障通讯畅通。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250" w:type="pct"/>
            <w:vMerge w:val="continue"/>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p>
        </w:tc>
        <w:tc>
          <w:tcPr>
            <w:tcW w:w="286" w:type="pct"/>
            <w:vAlign w:val="center"/>
          </w:tcPr>
          <w:p>
            <w:pPr>
              <w:adjustRightInd w:val="0"/>
              <w:spacing w:line="24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16</w:t>
            </w:r>
          </w:p>
        </w:tc>
        <w:tc>
          <w:tcPr>
            <w:tcW w:w="638" w:type="pct"/>
            <w:vAlign w:val="center"/>
          </w:tcPr>
          <w:p>
            <w:pPr>
              <w:adjustRightInd w:val="0"/>
              <w:spacing w:line="240" w:lineRule="exact"/>
              <w:jc w:val="center"/>
              <w:rPr>
                <w:rFonts w:ascii="Times New Roman" w:hAnsi="Times New Roman" w:eastAsia="仿宋_GB2312"/>
                <w:bCs/>
                <w:color w:val="000000" w:themeColor="text1"/>
                <w:spacing w:val="-18"/>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县电力局</w:t>
            </w:r>
          </w:p>
        </w:tc>
        <w:tc>
          <w:tcPr>
            <w:tcW w:w="3825" w:type="pct"/>
            <w:vAlign w:val="center"/>
          </w:tcPr>
          <w:p>
            <w:pPr>
              <w:adjustRightInd w:val="0"/>
              <w:spacing w:line="240" w:lineRule="exact"/>
              <w:jc w:val="lef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负责地质灾害应急抢险救援过程中电力设施抢修工作，确保抢险救灾和灾区正常供电。</w:t>
            </w:r>
          </w:p>
        </w:tc>
      </w:tr>
    </w:tbl>
    <w:p>
      <w:pPr>
        <w:adjustRightInd w:val="0"/>
        <w:spacing w:line="560" w:lineRule="exact"/>
        <w:jc w:val="center"/>
        <w:rPr>
          <w:rFonts w:ascii="Times New Roman" w:hAnsi="Times New Roman" w:eastAsia="仿宋_GB2312"/>
          <w:bCs/>
          <w:color w:val="000000" w:themeColor="text1"/>
          <w:szCs w:val="21"/>
          <w14:textFill>
            <w14:solidFill>
              <w14:schemeClr w14:val="tx1"/>
            </w14:solidFill>
          </w14:textFill>
        </w:rPr>
        <w:sectPr>
          <w:pgSz w:w="11907" w:h="16840"/>
          <w:pgMar w:top="1985" w:right="1531" w:bottom="1588" w:left="1531" w:header="851" w:footer="1247" w:gutter="0"/>
          <w:pgNumType w:fmt="numberInDash"/>
          <w:cols w:space="720" w:num="1"/>
          <w:docGrid w:type="linesAndChars" w:linePitch="315" w:charSpace="0"/>
        </w:sectPr>
      </w:pPr>
    </w:p>
    <w:p>
      <w:pPr>
        <w:adjustRightInd w:val="0"/>
        <w:spacing w:after="315" w:afterLines="100" w:line="600" w:lineRule="exact"/>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附件4-2</w:t>
      </w:r>
    </w:p>
    <w:p>
      <w:pPr>
        <w:adjustRightInd w:val="0"/>
        <w:spacing w:line="560" w:lineRule="exact"/>
        <w:jc w:val="center"/>
        <w:rPr>
          <w:rFonts w:ascii="Times New Roman" w:hAnsi="Times New Roman" w:eastAsia="方正小标宋简体"/>
          <w:b/>
          <w:color w:val="000000" w:themeColor="text1"/>
          <w:sz w:val="44"/>
          <w:szCs w:val="44"/>
          <w14:textFill>
            <w14:solidFill>
              <w14:schemeClr w14:val="tx1"/>
            </w14:solidFill>
          </w14:textFill>
        </w:rPr>
      </w:pPr>
      <w:r>
        <w:rPr>
          <w:rFonts w:ascii="Times New Roman" w:hAnsi="Times New Roman" w:eastAsia="方正小标宋简体"/>
          <w:b/>
          <w:color w:val="000000" w:themeColor="text1"/>
          <w:sz w:val="44"/>
          <w:szCs w:val="44"/>
          <w14:textFill>
            <w14:solidFill>
              <w14:schemeClr w14:val="tx1"/>
            </w14:solidFill>
          </w14:textFill>
        </w:rPr>
        <w:t>洛南县地质灾害防治工作责任划分一览表</w:t>
      </w:r>
    </w:p>
    <w:p>
      <w:pPr>
        <w:adjustRightInd w:val="0"/>
        <w:spacing w:line="240" w:lineRule="exact"/>
        <w:jc w:val="center"/>
        <w:rPr>
          <w:rFonts w:ascii="Times New Roman" w:hAnsi="Times New Roman" w:eastAsia="黑体"/>
          <w:color w:val="000000" w:themeColor="text1"/>
          <w:sz w:val="36"/>
          <w:szCs w:val="36"/>
          <w14:textFill>
            <w14:solidFill>
              <w14:schemeClr w14:val="tx1"/>
            </w14:solidFill>
          </w14:textFill>
        </w:rPr>
      </w:pPr>
    </w:p>
    <w:tbl>
      <w:tblPr>
        <w:tblStyle w:val="3"/>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4"/>
        <w:gridCol w:w="532"/>
        <w:gridCol w:w="1226"/>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343" w:type="pct"/>
            <w:vAlign w:val="center"/>
          </w:tcPr>
          <w:p>
            <w:pPr>
              <w:adjustRightInd w:val="0"/>
              <w:spacing w:line="36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类别</w:t>
            </w:r>
          </w:p>
        </w:tc>
        <w:tc>
          <w:tcPr>
            <w:tcW w:w="302" w:type="pct"/>
            <w:vAlign w:val="center"/>
          </w:tcPr>
          <w:p>
            <w:pPr>
              <w:adjustRightInd w:val="0"/>
              <w:spacing w:line="36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序号</w:t>
            </w:r>
          </w:p>
        </w:tc>
        <w:tc>
          <w:tcPr>
            <w:tcW w:w="696" w:type="pct"/>
            <w:vAlign w:val="center"/>
          </w:tcPr>
          <w:p>
            <w:pPr>
              <w:adjustRightInd w:val="0"/>
              <w:spacing w:line="36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单位名称</w:t>
            </w:r>
          </w:p>
        </w:tc>
        <w:tc>
          <w:tcPr>
            <w:tcW w:w="3659" w:type="pct"/>
            <w:vAlign w:val="center"/>
          </w:tcPr>
          <w:p>
            <w:pPr>
              <w:adjustRightInd w:val="0"/>
              <w:spacing w:line="36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
                <w:color w:val="000000" w:themeColor="text1"/>
                <w:szCs w:val="21"/>
                <w14:textFill>
                  <w14:solidFill>
                    <w14:schemeClr w14:val="tx1"/>
                  </w14:solidFill>
                </w14:textFill>
              </w:rPr>
              <w:t>成员单位职责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7" w:hRule="atLeast"/>
        </w:trPr>
        <w:tc>
          <w:tcPr>
            <w:tcW w:w="343" w:type="pct"/>
            <w:vAlign w:val="center"/>
          </w:tcPr>
          <w:p>
            <w:pPr>
              <w:adjustRightInd w:val="0"/>
              <w:spacing w:line="36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镇办</w:t>
            </w:r>
          </w:p>
        </w:tc>
        <w:tc>
          <w:tcPr>
            <w:tcW w:w="302" w:type="pct"/>
            <w:vAlign w:val="center"/>
          </w:tcPr>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w:t>
            </w:r>
          </w:p>
        </w:tc>
        <w:tc>
          <w:tcPr>
            <w:tcW w:w="696" w:type="pct"/>
            <w:vAlign w:val="center"/>
          </w:tcPr>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镇政府</w:t>
            </w:r>
          </w:p>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街道办事处</w:t>
            </w:r>
          </w:p>
        </w:tc>
        <w:tc>
          <w:tcPr>
            <w:tcW w:w="3659" w:type="pct"/>
            <w:vAlign w:val="center"/>
          </w:tcPr>
          <w:p>
            <w:pPr>
              <w:adjustRightInd w:val="0"/>
              <w:spacing w:line="440" w:lineRule="exac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对辖区内的</w:t>
            </w:r>
            <w:bookmarkStart w:id="0" w:name="_GoBack"/>
            <w:bookmarkEnd w:id="0"/>
            <w:r>
              <w:rPr>
                <w:rFonts w:ascii="Times New Roman" w:hAnsi="Times New Roman" w:eastAsia="仿宋_GB2312"/>
                <w:color w:val="000000" w:themeColor="text1"/>
                <w:szCs w:val="21"/>
                <w14:textFill>
                  <w14:solidFill>
                    <w14:schemeClr w14:val="tx1"/>
                  </w14:solidFill>
                </w14:textFill>
              </w:rPr>
              <w:t>地质灾害防治工作负总责。编制年度地质灾害防治实施方案，督促落实监测预警、日常巡查、宣传教育、避险演练等防范措施；向受地质灾害威胁的单位和个人发放防灾、避险明白卡；建立基层群测群防组织，定期开展地质灾害隐患巡查、排查活动；对切坡建房等工程建设活动引发地质灾害的单位和个人进行严肃查处，按照“谁诱发，谁治理”的原则，督促责任单位和个人落实好治理责任；建立镇办、村组、自然资源所“三位一体、网格管理、区域联防、企业协同”的网格化管理责任体系，将地质灾害“人盯人防抢撤”机制融入镇办“人盯人”+基层社会社会管理体系，夯实地质灾害防范和撤离安置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trPr>
        <w:tc>
          <w:tcPr>
            <w:tcW w:w="343" w:type="pct"/>
            <w:vMerge w:val="restart"/>
            <w:vAlign w:val="center"/>
          </w:tcPr>
          <w:p>
            <w:pPr>
              <w:adjustRightInd w:val="0"/>
              <w:spacing w:line="36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有关</w:t>
            </w:r>
          </w:p>
          <w:p>
            <w:pPr>
              <w:adjustRightInd w:val="0"/>
              <w:spacing w:line="360" w:lineRule="exact"/>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厂矿</w:t>
            </w:r>
          </w:p>
          <w:p>
            <w:pPr>
              <w:adjustRightInd w:val="0"/>
              <w:spacing w:line="360" w:lineRule="exact"/>
              <w:jc w:val="center"/>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企业</w:t>
            </w:r>
          </w:p>
        </w:tc>
        <w:tc>
          <w:tcPr>
            <w:tcW w:w="302" w:type="pct"/>
            <w:vAlign w:val="center"/>
          </w:tcPr>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1</w:t>
            </w:r>
          </w:p>
        </w:tc>
        <w:tc>
          <w:tcPr>
            <w:tcW w:w="696" w:type="pct"/>
            <w:vAlign w:val="center"/>
          </w:tcPr>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黄龙钼矿区</w:t>
            </w:r>
          </w:p>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各矿山企业</w:t>
            </w:r>
          </w:p>
        </w:tc>
        <w:tc>
          <w:tcPr>
            <w:tcW w:w="3659" w:type="pct"/>
            <w:vAlign w:val="center"/>
          </w:tcPr>
          <w:p>
            <w:pPr>
              <w:adjustRightInd w:val="0"/>
              <w:spacing w:line="440" w:lineRule="exac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对因工程建设诱发的地质灾害防治工作负总责，落实监测工作责任，加强监测预报工作，严格执行汛期地质灾害防治工作各项规章制度，发现灾险情及时上报；组织落实资金对隐患点进行应急工程治理，确保人民群众生命</w:t>
            </w:r>
            <w:r>
              <w:rPr>
                <w:rFonts w:ascii="Times New Roman" w:hAnsi="Times New Roman" w:eastAsia="仿宋_GB2312"/>
                <w:color w:val="000000" w:themeColor="text1"/>
                <w:spacing w:val="-6"/>
                <w:szCs w:val="21"/>
                <w14:textFill>
                  <w14:solidFill>
                    <w14:schemeClr w14:val="tx1"/>
                  </w14:solidFill>
                </w14:textFill>
              </w:rPr>
              <w:t>财产安全。特别是陕西炼石上河钼矿要对诱发的文公岭采矿区山体隐患点高度重视，落实监测人员，加强监测预报，开展恢复治理工作。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5" w:hRule="atLeast"/>
        </w:trPr>
        <w:tc>
          <w:tcPr>
            <w:tcW w:w="343" w:type="pct"/>
            <w:vMerge w:val="continue"/>
            <w:vAlign w:val="center"/>
          </w:tcPr>
          <w:p>
            <w:pPr>
              <w:adjustRightInd w:val="0"/>
              <w:spacing w:line="360" w:lineRule="exact"/>
              <w:jc w:val="center"/>
              <w:rPr>
                <w:rFonts w:ascii="Times New Roman" w:hAnsi="Times New Roman" w:eastAsia="仿宋_GB2312"/>
                <w:b/>
                <w:color w:val="000000" w:themeColor="text1"/>
                <w:szCs w:val="21"/>
                <w14:textFill>
                  <w14:solidFill>
                    <w14:schemeClr w14:val="tx1"/>
                  </w14:solidFill>
                </w14:textFill>
              </w:rPr>
            </w:pPr>
          </w:p>
        </w:tc>
        <w:tc>
          <w:tcPr>
            <w:tcW w:w="302" w:type="pct"/>
            <w:vAlign w:val="center"/>
          </w:tcPr>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2</w:t>
            </w:r>
          </w:p>
        </w:tc>
        <w:tc>
          <w:tcPr>
            <w:tcW w:w="696" w:type="pct"/>
            <w:vAlign w:val="center"/>
          </w:tcPr>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中金鑫元</w:t>
            </w:r>
          </w:p>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科工贸</w:t>
            </w:r>
          </w:p>
          <w:p>
            <w:pPr>
              <w:adjustRightInd w:val="0"/>
              <w:spacing w:line="360" w:lineRule="exact"/>
              <w:jc w:val="center"/>
              <w:rPr>
                <w:rFonts w:ascii="Times New Roman" w:hAnsi="Times New Roman" w:eastAsia="仿宋_GB2312"/>
                <w:bCs/>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有限公司</w:t>
            </w:r>
          </w:p>
        </w:tc>
        <w:tc>
          <w:tcPr>
            <w:tcW w:w="3659" w:type="pct"/>
            <w:vAlign w:val="center"/>
          </w:tcPr>
          <w:p>
            <w:pPr>
              <w:adjustRightInd w:val="0"/>
              <w:spacing w:line="440" w:lineRule="exact"/>
              <w:rPr>
                <w:rFonts w:ascii="Times New Roman" w:hAnsi="Times New Roman" w:eastAsia="仿宋_GB2312"/>
                <w:b/>
                <w:color w:val="000000" w:themeColor="text1"/>
                <w:szCs w:val="21"/>
                <w14:textFill>
                  <w14:solidFill>
                    <w14:schemeClr w14:val="tx1"/>
                  </w14:solidFill>
                </w14:textFill>
              </w:rPr>
            </w:pPr>
            <w:r>
              <w:rPr>
                <w:rFonts w:ascii="Times New Roman" w:hAnsi="Times New Roman" w:eastAsia="仿宋_GB2312"/>
                <w:bCs/>
                <w:color w:val="000000" w:themeColor="text1"/>
                <w:szCs w:val="21"/>
                <w14:textFill>
                  <w14:solidFill>
                    <w14:schemeClr w14:val="tx1"/>
                  </w14:solidFill>
                </w14:textFill>
              </w:rPr>
              <w:t>中金鑫元科工贸有限公司要</w:t>
            </w:r>
            <w:r>
              <w:rPr>
                <w:rFonts w:ascii="Times New Roman" w:hAnsi="Times New Roman" w:eastAsia="仿宋_GB2312"/>
                <w:color w:val="000000" w:themeColor="text1"/>
                <w:szCs w:val="21"/>
                <w14:textFill>
                  <w14:solidFill>
                    <w14:schemeClr w14:val="tx1"/>
                  </w14:solidFill>
                </w14:textFill>
              </w:rPr>
              <w:t>对寺耳镇高村大王西峪水石流落实专职人员负责监测工作，严格执行汛期地质灾害防治工作各项规章制度，发现灾险情及时上报并负责人员撤离；安排</w:t>
            </w:r>
            <w:r>
              <w:rPr>
                <w:rFonts w:ascii="Times New Roman" w:hAnsi="Times New Roman" w:eastAsia="仿宋_GB2312"/>
                <w:color w:val="000000" w:themeColor="text1"/>
                <w:spacing w:val="-6"/>
                <w:szCs w:val="21"/>
                <w14:textFill>
                  <w14:solidFill>
                    <w14:schemeClr w14:val="tx1"/>
                  </w14:solidFill>
                </w14:textFill>
              </w:rPr>
              <w:t>人员对该隐患点治理工程进行维护，确保人民群众生命财产安全。</w:t>
            </w:r>
          </w:p>
        </w:tc>
      </w:tr>
    </w:tbl>
    <w:p/>
    <w:sectPr>
      <w:pgSz w:w="11906" w:h="16838"/>
      <w:pgMar w:top="1984"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MGY4MDZiYmQyZDA4MzBhN2MyMWUxMGY2YjM0NGQifQ=="/>
  </w:docVars>
  <w:rsids>
    <w:rsidRoot w:val="6AD43A9B"/>
    <w:rsid w:val="6AD4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2024-06-26T09:08:00Z</dcterms:created>
  <dc:creator>Lenovo</dc:creator>
  <cp:lastModifiedBy>Lenovo</cp:lastModifiedBy>
  <dcterms:modified xsi:type="dcterms:W3CDTF">2024-06-26T09:09:32Z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C86F3B7A236048D0BCE9710E2661A0EF_11</vt:lpwstr>
  </property>
</Properties>
</file>