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洛南县交通领域基层政务公开标准目录</w:t>
      </w:r>
    </w:p>
    <w:tbl>
      <w:tblPr>
        <w:tblStyle w:val="5"/>
        <w:tblW w:w="10878"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517"/>
        <w:gridCol w:w="589"/>
        <w:gridCol w:w="569"/>
        <w:gridCol w:w="1391"/>
        <w:gridCol w:w="1311"/>
        <w:gridCol w:w="568"/>
        <w:gridCol w:w="884"/>
        <w:gridCol w:w="1121"/>
        <w:gridCol w:w="568"/>
        <w:gridCol w:w="568"/>
        <w:gridCol w:w="568"/>
        <w:gridCol w:w="568"/>
        <w:gridCol w:w="489"/>
        <w:gridCol w:w="116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517"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黑体" w:hAnsi="黑体" w:eastAsia="黑体" w:cs="宋体"/>
                <w:color w:val="4F4F4F"/>
                <w:kern w:val="0"/>
                <w:sz w:val="24"/>
                <w:szCs w:val="24"/>
              </w:rPr>
              <w:t>序号</w:t>
            </w:r>
          </w:p>
        </w:tc>
        <w:tc>
          <w:tcPr>
            <w:tcW w:w="1158"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黑体" w:hAnsi="黑体" w:eastAsia="黑体" w:cs="宋体"/>
                <w:color w:val="4F4F4F"/>
                <w:kern w:val="0"/>
                <w:sz w:val="24"/>
                <w:szCs w:val="24"/>
              </w:rPr>
              <w:t>公开事项</w:t>
            </w:r>
          </w:p>
        </w:tc>
        <w:tc>
          <w:tcPr>
            <w:tcW w:w="1391"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黑体" w:hAnsi="黑体" w:eastAsia="黑体" w:cs="宋体"/>
                <w:color w:val="4F4F4F"/>
                <w:kern w:val="0"/>
                <w:sz w:val="24"/>
                <w:szCs w:val="24"/>
              </w:rPr>
              <w:t>公开内容（要素））</w:t>
            </w:r>
          </w:p>
        </w:tc>
        <w:tc>
          <w:tcPr>
            <w:tcW w:w="1311"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黑体" w:hAnsi="黑体" w:eastAsia="黑体" w:cs="宋体"/>
                <w:color w:val="4F4F4F"/>
                <w:kern w:val="0"/>
                <w:sz w:val="24"/>
                <w:szCs w:val="24"/>
              </w:rPr>
              <w:t>公开依据</w:t>
            </w:r>
          </w:p>
        </w:tc>
        <w:tc>
          <w:tcPr>
            <w:tcW w:w="568"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黑体" w:hAnsi="黑体" w:eastAsia="黑体" w:cs="宋体"/>
                <w:color w:val="4F4F4F"/>
                <w:kern w:val="0"/>
                <w:sz w:val="24"/>
                <w:szCs w:val="24"/>
              </w:rPr>
              <w:t>公开时限</w:t>
            </w:r>
          </w:p>
        </w:tc>
        <w:tc>
          <w:tcPr>
            <w:tcW w:w="884"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黑体" w:hAnsi="黑体" w:eastAsia="黑体" w:cs="宋体"/>
                <w:color w:val="4F4F4F"/>
                <w:kern w:val="0"/>
                <w:sz w:val="24"/>
                <w:szCs w:val="24"/>
              </w:rPr>
              <w:t>公开主体</w:t>
            </w:r>
          </w:p>
        </w:tc>
        <w:tc>
          <w:tcPr>
            <w:tcW w:w="1121"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黑体" w:hAnsi="黑体" w:eastAsia="黑体" w:cs="宋体"/>
                <w:color w:val="4F4F4F"/>
                <w:kern w:val="0"/>
                <w:sz w:val="24"/>
                <w:szCs w:val="24"/>
              </w:rPr>
              <w:t>公开渠道和载体</w:t>
            </w:r>
          </w:p>
        </w:tc>
        <w:tc>
          <w:tcPr>
            <w:tcW w:w="1136"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黑体" w:hAnsi="黑体" w:eastAsia="黑体" w:cs="宋体"/>
                <w:color w:val="4F4F4F"/>
                <w:kern w:val="0"/>
                <w:sz w:val="24"/>
                <w:szCs w:val="24"/>
              </w:rPr>
              <w:t>公开对象</w:t>
            </w:r>
          </w:p>
        </w:tc>
        <w:tc>
          <w:tcPr>
            <w:tcW w:w="1136"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黑体" w:hAnsi="黑体" w:eastAsia="黑体" w:cs="宋体"/>
                <w:color w:val="4F4F4F"/>
                <w:kern w:val="0"/>
                <w:sz w:val="24"/>
                <w:szCs w:val="24"/>
              </w:rPr>
              <w:t>公开方式</w:t>
            </w:r>
          </w:p>
        </w:tc>
        <w:tc>
          <w:tcPr>
            <w:tcW w:w="1656"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黑体" w:hAnsi="黑体" w:eastAsia="黑体" w:cs="宋体"/>
                <w:color w:val="4F4F4F"/>
                <w:kern w:val="0"/>
                <w:sz w:val="24"/>
                <w:szCs w:val="24"/>
              </w:rPr>
              <w:t>公开层级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589" w:type="dxa"/>
            <w:tcBorders>
              <w:top w:val="nil"/>
              <w:left w:val="nil"/>
              <w:bottom w:val="single" w:color="auto" w:sz="6" w:space="0"/>
              <w:right w:val="single" w:color="auto" w:sz="6" w:space="0"/>
            </w:tcBorders>
            <w:shd w:val="clear" w:color="auto" w:fill="F7F7F7"/>
            <w:tcMar>
              <w:top w:w="0" w:type="dxa"/>
              <w:left w:w="105" w:type="dxa"/>
              <w:bottom w:w="0" w:type="dxa"/>
              <w:right w:w="105" w:type="dxa"/>
            </w:tcMar>
          </w:tcPr>
          <w:p>
            <w:pPr>
              <w:widowControl/>
              <w:spacing w:line="330" w:lineRule="atLeast"/>
              <w:jc w:val="left"/>
              <w:rPr>
                <w:rFonts w:ascii="宋体" w:hAnsi="宋体" w:eastAsia="宋体" w:cs="宋体"/>
                <w:color w:val="4F4F4F"/>
                <w:kern w:val="0"/>
                <w:szCs w:val="21"/>
              </w:rPr>
            </w:pPr>
            <w:r>
              <w:rPr>
                <w:rFonts w:hint="eastAsia" w:ascii="黑体" w:hAnsi="黑体" w:eastAsia="黑体" w:cs="宋体"/>
                <w:color w:val="4F4F4F"/>
                <w:kern w:val="0"/>
                <w:sz w:val="24"/>
                <w:szCs w:val="24"/>
              </w:rPr>
              <w:t>一级事项</w:t>
            </w:r>
          </w:p>
        </w:tc>
        <w:tc>
          <w:tcPr>
            <w:tcW w:w="569" w:type="dxa"/>
            <w:tcBorders>
              <w:top w:val="nil"/>
              <w:left w:val="nil"/>
              <w:bottom w:val="single" w:color="auto" w:sz="6" w:space="0"/>
              <w:right w:val="single" w:color="auto" w:sz="6" w:space="0"/>
            </w:tcBorders>
            <w:shd w:val="clear" w:color="auto" w:fill="F7F7F7"/>
            <w:tcMar>
              <w:top w:w="0" w:type="dxa"/>
              <w:left w:w="105" w:type="dxa"/>
              <w:bottom w:w="0" w:type="dxa"/>
              <w:right w:w="105" w:type="dxa"/>
            </w:tcMar>
          </w:tcPr>
          <w:p>
            <w:pPr>
              <w:widowControl/>
              <w:spacing w:line="330" w:lineRule="atLeast"/>
              <w:jc w:val="left"/>
              <w:rPr>
                <w:rFonts w:ascii="宋体" w:hAnsi="宋体" w:eastAsia="宋体" w:cs="宋体"/>
                <w:color w:val="4F4F4F"/>
                <w:kern w:val="0"/>
                <w:szCs w:val="21"/>
              </w:rPr>
            </w:pPr>
            <w:r>
              <w:rPr>
                <w:rFonts w:hint="eastAsia" w:ascii="黑体" w:hAnsi="黑体" w:eastAsia="黑体" w:cs="宋体"/>
                <w:color w:val="4F4F4F"/>
                <w:kern w:val="0"/>
                <w:sz w:val="24"/>
                <w:szCs w:val="24"/>
              </w:rPr>
              <w:t>二级事项</w:t>
            </w:r>
          </w:p>
        </w:tc>
        <w:tc>
          <w:tcPr>
            <w:tcW w:w="0" w:type="auto"/>
            <w:vMerge w:val="continue"/>
            <w:tcBorders>
              <w:top w:val="single" w:color="auto" w:sz="6" w:space="0"/>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0" w:type="auto"/>
            <w:vMerge w:val="continue"/>
            <w:tcBorders>
              <w:top w:val="single" w:color="auto" w:sz="6" w:space="0"/>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0" w:type="auto"/>
            <w:vMerge w:val="continue"/>
            <w:tcBorders>
              <w:top w:val="single" w:color="auto" w:sz="6" w:space="0"/>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0" w:type="auto"/>
            <w:vMerge w:val="continue"/>
            <w:tcBorders>
              <w:top w:val="single" w:color="auto" w:sz="6" w:space="0"/>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0" w:type="auto"/>
            <w:vMerge w:val="continue"/>
            <w:tcBorders>
              <w:top w:val="single" w:color="auto" w:sz="6" w:space="0"/>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tcPr>
          <w:p>
            <w:pPr>
              <w:widowControl/>
              <w:spacing w:line="330" w:lineRule="atLeast"/>
              <w:jc w:val="left"/>
              <w:rPr>
                <w:rFonts w:ascii="宋体" w:hAnsi="宋体" w:eastAsia="宋体" w:cs="宋体"/>
                <w:color w:val="4F4F4F"/>
                <w:kern w:val="0"/>
                <w:szCs w:val="21"/>
              </w:rPr>
            </w:pPr>
            <w:r>
              <w:rPr>
                <w:rFonts w:hint="eastAsia" w:ascii="黑体" w:hAnsi="黑体" w:eastAsia="黑体" w:cs="宋体"/>
                <w:color w:val="4F4F4F"/>
                <w:kern w:val="0"/>
                <w:sz w:val="24"/>
                <w:szCs w:val="24"/>
              </w:rPr>
              <w:t>全社会</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tcPr>
          <w:p>
            <w:pPr>
              <w:widowControl/>
              <w:spacing w:line="330" w:lineRule="atLeast"/>
              <w:jc w:val="left"/>
              <w:rPr>
                <w:rFonts w:ascii="宋体" w:hAnsi="宋体" w:eastAsia="宋体" w:cs="宋体"/>
                <w:color w:val="4F4F4F"/>
                <w:kern w:val="0"/>
                <w:szCs w:val="21"/>
              </w:rPr>
            </w:pPr>
            <w:r>
              <w:rPr>
                <w:rFonts w:hint="eastAsia" w:ascii="黑体" w:hAnsi="黑体" w:eastAsia="黑体" w:cs="宋体"/>
                <w:color w:val="4F4F4F"/>
                <w:kern w:val="0"/>
                <w:sz w:val="24"/>
                <w:szCs w:val="24"/>
              </w:rPr>
              <w:t>特定群众</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tcPr>
          <w:p>
            <w:pPr>
              <w:widowControl/>
              <w:spacing w:line="330" w:lineRule="atLeast"/>
              <w:jc w:val="left"/>
              <w:rPr>
                <w:rFonts w:ascii="宋体" w:hAnsi="宋体" w:eastAsia="宋体" w:cs="宋体"/>
                <w:color w:val="4F4F4F"/>
                <w:kern w:val="0"/>
                <w:szCs w:val="21"/>
              </w:rPr>
            </w:pPr>
            <w:r>
              <w:rPr>
                <w:rFonts w:hint="eastAsia" w:ascii="黑体" w:hAnsi="黑体" w:eastAsia="黑体" w:cs="宋体"/>
                <w:color w:val="4F4F4F"/>
                <w:kern w:val="0"/>
                <w:sz w:val="24"/>
                <w:szCs w:val="24"/>
              </w:rPr>
              <w:t>主动</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tcPr>
          <w:p>
            <w:pPr>
              <w:widowControl/>
              <w:spacing w:line="330" w:lineRule="atLeast"/>
              <w:jc w:val="left"/>
              <w:rPr>
                <w:rFonts w:ascii="宋体" w:hAnsi="宋体" w:eastAsia="宋体" w:cs="宋体"/>
                <w:color w:val="4F4F4F"/>
                <w:kern w:val="0"/>
                <w:szCs w:val="21"/>
              </w:rPr>
            </w:pPr>
            <w:r>
              <w:rPr>
                <w:rFonts w:hint="eastAsia" w:ascii="黑体" w:hAnsi="黑体" w:eastAsia="黑体" w:cs="宋体"/>
                <w:color w:val="4F4F4F"/>
                <w:kern w:val="0"/>
                <w:sz w:val="24"/>
                <w:szCs w:val="24"/>
              </w:rPr>
              <w:t>依申请公开</w:t>
            </w:r>
          </w:p>
        </w:tc>
        <w:tc>
          <w:tcPr>
            <w:tcW w:w="489" w:type="dxa"/>
            <w:tcBorders>
              <w:top w:val="nil"/>
              <w:left w:val="nil"/>
              <w:bottom w:val="single" w:color="auto" w:sz="6" w:space="0"/>
              <w:right w:val="single" w:color="auto" w:sz="6" w:space="0"/>
            </w:tcBorders>
            <w:shd w:val="clear" w:color="auto" w:fill="F7F7F7"/>
            <w:tcMar>
              <w:top w:w="0" w:type="dxa"/>
              <w:left w:w="105" w:type="dxa"/>
              <w:bottom w:w="0" w:type="dxa"/>
              <w:right w:w="105" w:type="dxa"/>
            </w:tcMar>
          </w:tcPr>
          <w:p>
            <w:pPr>
              <w:widowControl/>
              <w:spacing w:line="330" w:lineRule="atLeast"/>
              <w:jc w:val="left"/>
              <w:rPr>
                <w:rFonts w:ascii="宋体" w:hAnsi="宋体" w:eastAsia="宋体" w:cs="宋体"/>
                <w:color w:val="4F4F4F"/>
                <w:kern w:val="0"/>
                <w:szCs w:val="21"/>
              </w:rPr>
            </w:pPr>
            <w:r>
              <w:rPr>
                <w:rFonts w:hint="eastAsia" w:ascii="黑体" w:hAnsi="黑体" w:eastAsia="黑体" w:cs="宋体"/>
                <w:color w:val="4F4F4F"/>
                <w:kern w:val="0"/>
                <w:sz w:val="24"/>
                <w:szCs w:val="24"/>
              </w:rPr>
              <w:t>县级</w:t>
            </w:r>
          </w:p>
        </w:tc>
        <w:tc>
          <w:tcPr>
            <w:tcW w:w="1167" w:type="dxa"/>
            <w:tcBorders>
              <w:top w:val="nil"/>
              <w:left w:val="nil"/>
              <w:bottom w:val="single" w:color="auto" w:sz="6" w:space="0"/>
              <w:right w:val="single" w:color="auto" w:sz="6" w:space="0"/>
            </w:tcBorders>
            <w:shd w:val="clear" w:color="auto" w:fill="F7F7F7"/>
            <w:tcMar>
              <w:top w:w="0" w:type="dxa"/>
              <w:left w:w="105" w:type="dxa"/>
              <w:bottom w:w="0" w:type="dxa"/>
              <w:right w:w="105" w:type="dxa"/>
            </w:tcMar>
          </w:tcPr>
          <w:p>
            <w:pPr>
              <w:widowControl/>
              <w:spacing w:line="330" w:lineRule="atLeast"/>
              <w:jc w:val="left"/>
              <w:rPr>
                <w:rFonts w:ascii="宋体" w:hAnsi="宋体" w:eastAsia="宋体" w:cs="宋体"/>
                <w:color w:val="4F4F4F"/>
                <w:kern w:val="0"/>
                <w:szCs w:val="21"/>
              </w:rPr>
            </w:pPr>
            <w:r>
              <w:rPr>
                <w:rFonts w:hint="eastAsia" w:ascii="黑体" w:hAnsi="黑体" w:eastAsia="黑体" w:cs="宋体"/>
                <w:color w:val="4F4F4F"/>
                <w:kern w:val="0"/>
                <w:sz w:val="24"/>
                <w:szCs w:val="24"/>
              </w:rPr>
              <w:t>乡镇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51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1</w:t>
            </w:r>
          </w:p>
        </w:tc>
        <w:tc>
          <w:tcPr>
            <w:tcW w:w="589"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公路水运工程基础设施</w:t>
            </w: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农村公路</w:t>
            </w:r>
          </w:p>
        </w:tc>
        <w:tc>
          <w:tcPr>
            <w:tcW w:w="13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农村公路建设计划和补助政策信息</w:t>
            </w:r>
          </w:p>
        </w:tc>
        <w:tc>
          <w:tcPr>
            <w:tcW w:w="131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《中华人民共和国政府信息公开条例》《</w:t>
            </w:r>
            <w:r>
              <w:rPr>
                <w:rFonts w:hint="default" w:ascii="仿宋" w:hAnsi="仿宋" w:eastAsia="仿宋" w:cs="宋体"/>
                <w:color w:val="555555"/>
                <w:kern w:val="0"/>
                <w:sz w:val="24"/>
                <w:szCs w:val="24"/>
                <w:lang w:val="en"/>
              </w:rPr>
              <w:t>关于全面推进政务公开工作的意见</w:t>
            </w:r>
            <w:r>
              <w:rPr>
                <w:rFonts w:hint="eastAsia" w:ascii="仿宋" w:hAnsi="仿宋" w:eastAsia="仿宋" w:cs="宋体"/>
                <w:color w:val="555555"/>
                <w:kern w:val="0"/>
                <w:sz w:val="24"/>
                <w:szCs w:val="24"/>
              </w:rPr>
              <w:t>》《交通运输领域基层政务公开标准指引》</w:t>
            </w: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实时公开</w:t>
            </w:r>
          </w:p>
        </w:tc>
        <w:tc>
          <w:tcPr>
            <w:tcW w:w="8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hd w:val="clear" w:color="auto" w:fill="FFFFFF"/>
              <w:spacing w:line="330" w:lineRule="atLeast"/>
              <w:jc w:val="center"/>
              <w:rPr>
                <w:rFonts w:ascii="宋体" w:hAnsi="宋体" w:eastAsia="宋体" w:cs="宋体"/>
                <w:color w:val="4F4F4F"/>
                <w:kern w:val="0"/>
                <w:szCs w:val="21"/>
              </w:rPr>
            </w:pPr>
            <w:r>
              <w:rPr>
                <w:rFonts w:hint="eastAsia" w:ascii="宋体" w:hAnsi="宋体" w:eastAsia="宋体" w:cs="宋体"/>
                <w:color w:val="555555"/>
                <w:kern w:val="0"/>
                <w:szCs w:val="21"/>
              </w:rPr>
              <w:t> </w:t>
            </w:r>
          </w:p>
          <w:p>
            <w:pPr>
              <w:widowControl/>
              <w:shd w:val="clear" w:color="auto" w:fill="FFFFFF"/>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Cs w:val="21"/>
              </w:rPr>
              <w:t>洛南县交通运输局</w:t>
            </w:r>
          </w:p>
          <w:p>
            <w:pPr>
              <w:widowControl/>
              <w:spacing w:line="330" w:lineRule="atLeast"/>
              <w:jc w:val="center"/>
              <w:rPr>
                <w:rFonts w:ascii="宋体" w:hAnsi="宋体" w:eastAsia="宋体" w:cs="宋体"/>
                <w:color w:val="4F4F4F"/>
                <w:kern w:val="0"/>
                <w:szCs w:val="21"/>
              </w:rPr>
            </w:pPr>
            <w:r>
              <w:rPr>
                <w:rFonts w:hint="eastAsia" w:ascii="宋体" w:hAnsi="宋体" w:eastAsia="宋体" w:cs="宋体"/>
                <w:color w:val="4F4F4F"/>
                <w:kern w:val="0"/>
                <w:sz w:val="24"/>
                <w:szCs w:val="24"/>
              </w:rPr>
              <w:t> </w:t>
            </w:r>
          </w:p>
        </w:tc>
        <w:tc>
          <w:tcPr>
            <w:tcW w:w="112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hd w:val="clear" w:color="auto" w:fill="FFFFFF"/>
              <w:spacing w:line="330" w:lineRule="atLeast"/>
              <w:jc w:val="left"/>
              <w:rPr>
                <w:rFonts w:ascii="宋体" w:hAnsi="宋体" w:eastAsia="宋体" w:cs="宋体"/>
                <w:color w:val="4F4F4F"/>
                <w:kern w:val="0"/>
                <w:szCs w:val="21"/>
              </w:rPr>
            </w:pPr>
            <w:r>
              <w:rPr>
                <w:rFonts w:hint="eastAsia" w:ascii="仿宋" w:hAnsi="仿宋" w:eastAsia="仿宋" w:cs="宋体"/>
                <w:color w:val="555555"/>
                <w:kern w:val="0"/>
                <w:szCs w:val="21"/>
              </w:rPr>
              <w:t>■政府网站</w:t>
            </w:r>
          </w:p>
          <w:p>
            <w:pPr>
              <w:widowControl/>
              <w:shd w:val="clear" w:color="auto" w:fill="FFFFFF"/>
              <w:spacing w:line="330" w:lineRule="atLeast"/>
              <w:jc w:val="left"/>
              <w:rPr>
                <w:rFonts w:ascii="宋体" w:hAnsi="宋体" w:eastAsia="宋体" w:cs="宋体"/>
                <w:color w:val="4F4F4F"/>
                <w:kern w:val="0"/>
                <w:szCs w:val="21"/>
              </w:rPr>
            </w:pPr>
            <w:r>
              <w:rPr>
                <w:rFonts w:hint="eastAsia" w:ascii="宋体" w:hAnsi="宋体" w:eastAsia="宋体" w:cs="宋体"/>
                <w:color w:val="555555"/>
                <w:kern w:val="0"/>
                <w:szCs w:val="21"/>
              </w:rPr>
              <w:t> </w:t>
            </w:r>
          </w:p>
          <w:p>
            <w:pPr>
              <w:widowControl/>
              <w:shd w:val="clear" w:color="auto" w:fill="FFFFFF"/>
              <w:spacing w:line="330" w:lineRule="atLeast"/>
              <w:jc w:val="left"/>
              <w:rPr>
                <w:rFonts w:ascii="宋体" w:hAnsi="宋体" w:eastAsia="宋体" w:cs="宋体"/>
                <w:color w:val="4F4F4F"/>
                <w:kern w:val="0"/>
                <w:szCs w:val="21"/>
              </w:rPr>
            </w:pPr>
            <w:r>
              <w:rPr>
                <w:rFonts w:hint="eastAsia" w:ascii="宋体" w:hAnsi="宋体" w:eastAsia="宋体" w:cs="宋体"/>
                <w:color w:val="555555"/>
                <w:kern w:val="0"/>
                <w:szCs w:val="21"/>
              </w:rPr>
              <w:t> </w:t>
            </w:r>
          </w:p>
          <w:p>
            <w:pPr>
              <w:widowControl/>
              <w:spacing w:line="330" w:lineRule="atLeast"/>
              <w:jc w:val="center"/>
              <w:rPr>
                <w:rFonts w:ascii="宋体" w:hAnsi="宋体" w:eastAsia="宋体" w:cs="宋体"/>
                <w:color w:val="4F4F4F"/>
                <w:kern w:val="0"/>
                <w:szCs w:val="21"/>
              </w:rPr>
            </w:pPr>
            <w:r>
              <w:rPr>
                <w:rFonts w:hint="eastAsia" w:ascii="宋体" w:hAnsi="宋体" w:eastAsia="宋体" w:cs="宋体"/>
                <w:color w:val="4F4F4F"/>
                <w:kern w:val="0"/>
                <w:sz w:val="24"/>
                <w:szCs w:val="24"/>
              </w:rPr>
              <w:t> </w:t>
            </w: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4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11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517" w:type="dxa"/>
            <w:tcBorders>
              <w:top w:val="nil"/>
              <w:left w:val="single" w:color="auto" w:sz="6" w:space="0"/>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2</w:t>
            </w:r>
          </w:p>
        </w:tc>
        <w:tc>
          <w:tcPr>
            <w:tcW w:w="0" w:type="auto"/>
            <w:vMerge w:val="continue"/>
            <w:tcBorders>
              <w:top w:val="nil"/>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569"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项目审批</w:t>
            </w:r>
          </w:p>
        </w:tc>
        <w:tc>
          <w:tcPr>
            <w:tcW w:w="1391"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农村公路项目和水运建设项目设计文件审批、竣工验收等行政许可事项的办事指南和办理结果。</w:t>
            </w:r>
          </w:p>
        </w:tc>
        <w:tc>
          <w:tcPr>
            <w:tcW w:w="0" w:type="auto"/>
            <w:vMerge w:val="continue"/>
            <w:tcBorders>
              <w:top w:val="nil"/>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及时公开</w:t>
            </w:r>
          </w:p>
        </w:tc>
        <w:tc>
          <w:tcPr>
            <w:tcW w:w="884"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洛南县交通运输局</w:t>
            </w:r>
          </w:p>
        </w:tc>
        <w:tc>
          <w:tcPr>
            <w:tcW w:w="0" w:type="auto"/>
            <w:vMerge w:val="continue"/>
            <w:tcBorders>
              <w:top w:val="nil"/>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489"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1167"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51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3</w:t>
            </w:r>
          </w:p>
        </w:tc>
        <w:tc>
          <w:tcPr>
            <w:tcW w:w="0" w:type="auto"/>
            <w:vMerge w:val="continue"/>
            <w:tcBorders>
              <w:top w:val="nil"/>
              <w:left w:val="nil"/>
              <w:bottom w:val="single" w:color="auto" w:sz="6" w:space="0"/>
              <w:right w:val="single" w:color="auto" w:sz="6" w:space="0"/>
            </w:tcBorders>
            <w:shd w:val="clear" w:color="auto" w:fill="FFFFFF"/>
            <w:vAlign w:val="center"/>
          </w:tcPr>
          <w:p>
            <w:pPr>
              <w:widowControl/>
              <w:jc w:val="left"/>
              <w:rPr>
                <w:rFonts w:ascii="宋体" w:hAnsi="宋体" w:eastAsia="宋体" w:cs="宋体"/>
                <w:color w:val="4F4F4F"/>
                <w:kern w:val="0"/>
                <w:szCs w:val="21"/>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公路质量安全和监管和管理</w:t>
            </w:r>
          </w:p>
        </w:tc>
        <w:tc>
          <w:tcPr>
            <w:tcW w:w="13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农村公路质量安全监管和养护管理信息。</w:t>
            </w:r>
          </w:p>
        </w:tc>
        <w:tc>
          <w:tcPr>
            <w:tcW w:w="0" w:type="auto"/>
            <w:vMerge w:val="continue"/>
            <w:tcBorders>
              <w:top w:val="nil"/>
              <w:left w:val="nil"/>
              <w:bottom w:val="single" w:color="auto" w:sz="6" w:space="0"/>
              <w:right w:val="single" w:color="auto" w:sz="6" w:space="0"/>
            </w:tcBorders>
            <w:shd w:val="clear" w:color="auto" w:fill="FFFFFF"/>
            <w:vAlign w:val="center"/>
          </w:tcPr>
          <w:p>
            <w:pPr>
              <w:widowControl/>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实时公开</w:t>
            </w:r>
          </w:p>
        </w:tc>
        <w:tc>
          <w:tcPr>
            <w:tcW w:w="8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洛南县交通运输局</w:t>
            </w:r>
          </w:p>
        </w:tc>
        <w:tc>
          <w:tcPr>
            <w:tcW w:w="0" w:type="auto"/>
            <w:vMerge w:val="continue"/>
            <w:tcBorders>
              <w:top w:val="nil"/>
              <w:left w:val="nil"/>
              <w:bottom w:val="single" w:color="auto" w:sz="6" w:space="0"/>
              <w:right w:val="single" w:color="auto" w:sz="6" w:space="0"/>
            </w:tcBorders>
            <w:shd w:val="clear" w:color="auto" w:fill="FFFFFF"/>
            <w:vAlign w:val="center"/>
          </w:tcPr>
          <w:p>
            <w:pPr>
              <w:widowControl/>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4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11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517" w:type="dxa"/>
            <w:tcBorders>
              <w:top w:val="nil"/>
              <w:left w:val="single" w:color="auto" w:sz="6" w:space="0"/>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4</w:t>
            </w:r>
          </w:p>
        </w:tc>
        <w:tc>
          <w:tcPr>
            <w:tcW w:w="589" w:type="dxa"/>
            <w:vMerge w:val="restart"/>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道路运输</w:t>
            </w:r>
          </w:p>
        </w:tc>
        <w:tc>
          <w:tcPr>
            <w:tcW w:w="569"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行政许可的办事指南和办理结果</w:t>
            </w:r>
          </w:p>
        </w:tc>
        <w:tc>
          <w:tcPr>
            <w:tcW w:w="1391"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道路旅客运输、道路旅客运输站、道路货物运输经营许可和出租汽车车辆运营证核发、驾驶员客运资格证核发、经营资格证核发等行政许可事项的办事指南和办理结果</w:t>
            </w:r>
          </w:p>
        </w:tc>
        <w:tc>
          <w:tcPr>
            <w:tcW w:w="1311" w:type="dxa"/>
            <w:vMerge w:val="restart"/>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r>
              <w:rPr>
                <w:rFonts w:hint="eastAsia" w:ascii="仿宋" w:hAnsi="仿宋" w:eastAsia="仿宋" w:cs="宋体"/>
                <w:color w:val="555555"/>
                <w:kern w:val="0"/>
                <w:sz w:val="24"/>
                <w:szCs w:val="24"/>
              </w:rPr>
              <w:t>《中华人民共和国政府信息公开条例》《</w:t>
            </w:r>
            <w:r>
              <w:rPr>
                <w:rFonts w:hint="default" w:ascii="仿宋" w:hAnsi="仿宋" w:eastAsia="仿宋" w:cs="宋体"/>
                <w:color w:val="555555"/>
                <w:kern w:val="0"/>
                <w:sz w:val="24"/>
                <w:szCs w:val="24"/>
                <w:lang w:val="en"/>
              </w:rPr>
              <w:t>关于全面推进政务公开工作的意见</w:t>
            </w:r>
            <w:r>
              <w:rPr>
                <w:rFonts w:hint="eastAsia" w:ascii="仿宋" w:hAnsi="仿宋" w:eastAsia="仿宋" w:cs="宋体"/>
                <w:color w:val="555555"/>
                <w:kern w:val="0"/>
                <w:sz w:val="24"/>
                <w:szCs w:val="24"/>
              </w:rPr>
              <w:t>》《交通运输领域基层政务公开标准指引》</w:t>
            </w:r>
          </w:p>
        </w:tc>
        <w:tc>
          <w:tcPr>
            <w:tcW w:w="568" w:type="dxa"/>
            <w:vMerge w:val="restart"/>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信息形成或变更之日起14个工作日内</w:t>
            </w:r>
          </w:p>
        </w:tc>
        <w:tc>
          <w:tcPr>
            <w:tcW w:w="884"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洛南县交通运输局</w:t>
            </w:r>
          </w:p>
        </w:tc>
        <w:tc>
          <w:tcPr>
            <w:tcW w:w="1121"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宋体" w:hAnsi="宋体" w:eastAsia="宋体" w:cs="宋体"/>
                <w:color w:val="4F4F4F"/>
                <w:kern w:val="0"/>
                <w:sz w:val="24"/>
                <w:szCs w:val="24"/>
              </w:rPr>
              <w:t> </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489"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1167"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51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5</w:t>
            </w:r>
          </w:p>
        </w:tc>
        <w:tc>
          <w:tcPr>
            <w:tcW w:w="0" w:type="auto"/>
            <w:vMerge w:val="continue"/>
            <w:tcBorders>
              <w:top w:val="nil"/>
              <w:left w:val="nil"/>
              <w:bottom w:val="single" w:color="auto" w:sz="6" w:space="0"/>
              <w:right w:val="single" w:color="auto" w:sz="6" w:space="0"/>
            </w:tcBorders>
            <w:shd w:val="clear" w:color="auto" w:fill="FFFFFF"/>
            <w:vAlign w:val="center"/>
          </w:tcPr>
          <w:p>
            <w:pPr>
              <w:widowControl/>
              <w:jc w:val="left"/>
              <w:rPr>
                <w:rFonts w:ascii="宋体" w:hAnsi="宋体" w:eastAsia="宋体" w:cs="宋体"/>
                <w:color w:val="4F4F4F"/>
                <w:kern w:val="0"/>
                <w:szCs w:val="21"/>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客运站及客运路线</w:t>
            </w:r>
          </w:p>
        </w:tc>
        <w:tc>
          <w:tcPr>
            <w:tcW w:w="13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道路客运班线起讫地客运站点及途经线路备案等备案事项的办事指南。</w:t>
            </w:r>
          </w:p>
        </w:tc>
        <w:tc>
          <w:tcPr>
            <w:tcW w:w="0" w:type="auto"/>
            <w:vMerge w:val="continue"/>
            <w:tcBorders>
              <w:top w:val="nil"/>
              <w:left w:val="nil"/>
              <w:bottom w:val="single" w:color="auto" w:sz="6" w:space="0"/>
              <w:right w:val="single" w:color="auto" w:sz="6" w:space="0"/>
            </w:tcBorders>
            <w:shd w:val="clear" w:color="auto" w:fill="FFFFFF"/>
            <w:vAlign w:val="center"/>
          </w:tcPr>
          <w:p>
            <w:pPr>
              <w:widowControl/>
              <w:jc w:val="left"/>
              <w:rPr>
                <w:rFonts w:ascii="宋体" w:hAnsi="宋体" w:eastAsia="宋体" w:cs="宋体"/>
                <w:color w:val="4F4F4F"/>
                <w:kern w:val="0"/>
                <w:szCs w:val="21"/>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jc w:val="left"/>
              <w:rPr>
                <w:rFonts w:ascii="宋体" w:hAnsi="宋体" w:eastAsia="宋体" w:cs="宋体"/>
                <w:color w:val="4F4F4F"/>
                <w:kern w:val="0"/>
                <w:szCs w:val="21"/>
              </w:rPr>
            </w:pPr>
          </w:p>
        </w:tc>
        <w:tc>
          <w:tcPr>
            <w:tcW w:w="8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洛南县交通运输局</w:t>
            </w:r>
          </w:p>
        </w:tc>
        <w:tc>
          <w:tcPr>
            <w:tcW w:w="11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hd w:val="clear" w:color="auto" w:fill="FFFFFF"/>
              <w:spacing w:line="330" w:lineRule="atLeast"/>
              <w:jc w:val="left"/>
              <w:rPr>
                <w:rFonts w:ascii="宋体" w:hAnsi="宋体" w:eastAsia="宋体" w:cs="宋体"/>
                <w:color w:val="4F4F4F"/>
                <w:kern w:val="0"/>
                <w:szCs w:val="21"/>
              </w:rPr>
            </w:pPr>
            <w:r>
              <w:rPr>
                <w:rFonts w:hint="eastAsia" w:ascii="仿宋" w:hAnsi="仿宋" w:eastAsia="仿宋" w:cs="宋体"/>
                <w:color w:val="555555"/>
                <w:kern w:val="0"/>
                <w:szCs w:val="21"/>
              </w:rPr>
              <w:t>■政府网站</w:t>
            </w:r>
          </w:p>
          <w:p>
            <w:pPr>
              <w:widowControl/>
              <w:spacing w:line="330" w:lineRule="atLeast"/>
              <w:jc w:val="left"/>
              <w:rPr>
                <w:rFonts w:ascii="宋体" w:hAnsi="宋体" w:eastAsia="宋体" w:cs="宋体"/>
                <w:color w:val="4F4F4F"/>
                <w:kern w:val="0"/>
                <w:szCs w:val="21"/>
              </w:rPr>
            </w:pPr>
            <w:r>
              <w:rPr>
                <w:rFonts w:hint="eastAsia" w:ascii="宋体" w:hAnsi="宋体" w:eastAsia="宋体" w:cs="宋体"/>
                <w:color w:val="4F4F4F"/>
                <w:kern w:val="0"/>
                <w:sz w:val="24"/>
                <w:szCs w:val="24"/>
              </w:rPr>
              <w:t> </w:t>
            </w: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4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11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517" w:type="dxa"/>
            <w:tcBorders>
              <w:top w:val="nil"/>
              <w:left w:val="single" w:color="auto" w:sz="6" w:space="0"/>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6</w:t>
            </w:r>
          </w:p>
        </w:tc>
        <w:tc>
          <w:tcPr>
            <w:tcW w:w="589" w:type="dxa"/>
            <w:vMerge w:val="restart"/>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道路运输</w:t>
            </w:r>
          </w:p>
        </w:tc>
        <w:tc>
          <w:tcPr>
            <w:tcW w:w="569"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服务质量评价与信誉考核</w:t>
            </w:r>
          </w:p>
        </w:tc>
        <w:tc>
          <w:tcPr>
            <w:tcW w:w="1391"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城市公共交通服务质量评价信息、出租汽车服务质量信誉考核信息。</w:t>
            </w:r>
          </w:p>
        </w:tc>
        <w:tc>
          <w:tcPr>
            <w:tcW w:w="1311" w:type="dxa"/>
            <w:vMerge w:val="restart"/>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r>
              <w:rPr>
                <w:rFonts w:hint="eastAsia" w:ascii="仿宋" w:hAnsi="仿宋" w:eastAsia="仿宋" w:cs="宋体"/>
                <w:color w:val="555555"/>
                <w:kern w:val="0"/>
                <w:sz w:val="24"/>
                <w:szCs w:val="24"/>
              </w:rPr>
              <w:t>《中华人民共和国政府信息公开条例》《</w:t>
            </w:r>
            <w:r>
              <w:rPr>
                <w:rFonts w:hint="default" w:ascii="仿宋" w:hAnsi="仿宋" w:eastAsia="仿宋" w:cs="宋体"/>
                <w:color w:val="555555"/>
                <w:kern w:val="0"/>
                <w:sz w:val="24"/>
                <w:szCs w:val="24"/>
                <w:lang w:val="en"/>
              </w:rPr>
              <w:t>关于全面推进政务公开工作的意见</w:t>
            </w:r>
            <w:r>
              <w:rPr>
                <w:rFonts w:hint="eastAsia" w:ascii="仿宋" w:hAnsi="仿宋" w:eastAsia="仿宋" w:cs="宋体"/>
                <w:color w:val="555555"/>
                <w:kern w:val="0"/>
                <w:sz w:val="24"/>
                <w:szCs w:val="24"/>
              </w:rPr>
              <w:t>》、《交通运输领域基层政务公开标准指引》</w:t>
            </w:r>
          </w:p>
        </w:tc>
        <w:tc>
          <w:tcPr>
            <w:tcW w:w="568" w:type="dxa"/>
            <w:vMerge w:val="restart"/>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信息形成或变更之日起14个工作日内</w:t>
            </w:r>
          </w:p>
        </w:tc>
        <w:tc>
          <w:tcPr>
            <w:tcW w:w="884"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洛南县交通运输局</w:t>
            </w:r>
          </w:p>
        </w:tc>
        <w:tc>
          <w:tcPr>
            <w:tcW w:w="1121" w:type="dxa"/>
            <w:vMerge w:val="restart"/>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hd w:val="clear" w:color="auto" w:fill="FFFFFF"/>
              <w:spacing w:line="330" w:lineRule="atLeast"/>
              <w:jc w:val="left"/>
              <w:rPr>
                <w:rFonts w:ascii="宋体" w:hAnsi="宋体" w:eastAsia="宋体" w:cs="宋体"/>
                <w:color w:val="4F4F4F"/>
                <w:kern w:val="0"/>
                <w:szCs w:val="21"/>
              </w:rPr>
            </w:pPr>
            <w:r>
              <w:rPr>
                <w:rFonts w:hint="eastAsia" w:ascii="仿宋" w:hAnsi="仿宋" w:eastAsia="仿宋" w:cs="宋体"/>
                <w:color w:val="555555"/>
                <w:kern w:val="0"/>
                <w:szCs w:val="21"/>
              </w:rPr>
              <w:t>■政府网站</w:t>
            </w:r>
          </w:p>
          <w:p>
            <w:pPr>
              <w:widowControl/>
              <w:shd w:val="clear" w:color="auto" w:fill="FFFFFF"/>
              <w:spacing w:line="330" w:lineRule="atLeast"/>
              <w:jc w:val="left"/>
              <w:rPr>
                <w:rFonts w:ascii="宋体" w:hAnsi="宋体" w:eastAsia="宋体" w:cs="宋体"/>
                <w:color w:val="4F4F4F"/>
                <w:kern w:val="0"/>
                <w:szCs w:val="21"/>
              </w:rPr>
            </w:pPr>
            <w:r>
              <w:rPr>
                <w:rFonts w:hint="eastAsia" w:ascii="宋体" w:hAnsi="宋体" w:eastAsia="宋体" w:cs="宋体"/>
                <w:color w:val="555555"/>
                <w:kern w:val="0"/>
                <w:szCs w:val="21"/>
              </w:rPr>
              <w:t> </w:t>
            </w:r>
          </w:p>
          <w:p>
            <w:pPr>
              <w:widowControl/>
              <w:shd w:val="clear" w:color="auto" w:fill="FFFFFF"/>
              <w:spacing w:line="330" w:lineRule="atLeast"/>
              <w:jc w:val="left"/>
              <w:rPr>
                <w:rFonts w:ascii="宋体" w:hAnsi="宋体" w:eastAsia="宋体" w:cs="宋体"/>
                <w:color w:val="4F4F4F"/>
                <w:kern w:val="0"/>
                <w:szCs w:val="21"/>
              </w:rPr>
            </w:pPr>
            <w:r>
              <w:rPr>
                <w:rFonts w:hint="eastAsia" w:ascii="宋体" w:hAnsi="宋体" w:eastAsia="宋体" w:cs="宋体"/>
                <w:color w:val="555555"/>
                <w:kern w:val="0"/>
                <w:szCs w:val="21"/>
              </w:rPr>
              <w:t> </w:t>
            </w:r>
          </w:p>
          <w:p>
            <w:pPr>
              <w:widowControl/>
              <w:shd w:val="clear" w:color="auto" w:fill="FFFFFF"/>
              <w:spacing w:line="330" w:lineRule="atLeast"/>
              <w:jc w:val="left"/>
              <w:rPr>
                <w:rFonts w:ascii="宋体" w:hAnsi="宋体" w:eastAsia="宋体" w:cs="宋体"/>
                <w:color w:val="4F4F4F"/>
                <w:kern w:val="0"/>
                <w:szCs w:val="21"/>
              </w:rPr>
            </w:pPr>
            <w:r>
              <w:rPr>
                <w:rFonts w:hint="eastAsia" w:ascii="宋体" w:hAnsi="宋体" w:eastAsia="宋体" w:cs="宋体"/>
                <w:color w:val="555555"/>
                <w:kern w:val="0"/>
                <w:szCs w:val="21"/>
              </w:rPr>
              <w:t> </w:t>
            </w:r>
          </w:p>
          <w:p>
            <w:pPr>
              <w:widowControl/>
              <w:shd w:val="clear" w:color="auto" w:fill="FFFFFF"/>
              <w:spacing w:line="330" w:lineRule="atLeast"/>
              <w:jc w:val="left"/>
              <w:rPr>
                <w:rFonts w:ascii="宋体" w:hAnsi="宋体" w:eastAsia="宋体" w:cs="宋体"/>
                <w:color w:val="4F4F4F"/>
                <w:kern w:val="0"/>
                <w:szCs w:val="21"/>
              </w:rPr>
            </w:pPr>
            <w:r>
              <w:rPr>
                <w:rFonts w:hint="eastAsia" w:ascii="宋体" w:hAnsi="宋体" w:eastAsia="宋体" w:cs="宋体"/>
                <w:color w:val="555555"/>
                <w:kern w:val="0"/>
                <w:szCs w:val="21"/>
              </w:rPr>
              <w:t> </w:t>
            </w:r>
          </w:p>
          <w:p>
            <w:pPr>
              <w:widowControl/>
              <w:spacing w:line="330" w:lineRule="atLeast"/>
              <w:jc w:val="center"/>
              <w:rPr>
                <w:rFonts w:ascii="宋体" w:hAnsi="宋体" w:eastAsia="宋体" w:cs="宋体"/>
                <w:color w:val="4F4F4F"/>
                <w:kern w:val="0"/>
                <w:szCs w:val="21"/>
              </w:rPr>
            </w:pPr>
            <w:r>
              <w:rPr>
                <w:rFonts w:hint="eastAsia" w:ascii="宋体" w:hAnsi="宋体" w:eastAsia="宋体" w:cs="宋体"/>
                <w:color w:val="4F4F4F"/>
                <w:kern w:val="0"/>
                <w:sz w:val="24"/>
                <w:szCs w:val="24"/>
              </w:rPr>
              <w:t> </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489"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1167"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51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7</w:t>
            </w:r>
          </w:p>
        </w:tc>
        <w:tc>
          <w:tcPr>
            <w:tcW w:w="0" w:type="auto"/>
            <w:vMerge w:val="continue"/>
            <w:tcBorders>
              <w:top w:val="nil"/>
              <w:left w:val="nil"/>
              <w:bottom w:val="single" w:color="auto" w:sz="6" w:space="0"/>
              <w:right w:val="single" w:color="auto" w:sz="6" w:space="0"/>
            </w:tcBorders>
            <w:shd w:val="clear" w:color="auto" w:fill="FFFFFF"/>
            <w:vAlign w:val="center"/>
          </w:tcPr>
          <w:p>
            <w:pPr>
              <w:widowControl/>
              <w:jc w:val="left"/>
              <w:rPr>
                <w:rFonts w:ascii="宋体" w:hAnsi="宋体" w:eastAsia="宋体" w:cs="宋体"/>
                <w:color w:val="4F4F4F"/>
                <w:kern w:val="0"/>
                <w:szCs w:val="21"/>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监督检查结果</w:t>
            </w:r>
          </w:p>
        </w:tc>
        <w:tc>
          <w:tcPr>
            <w:tcW w:w="13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道路运输监督检查结果信息。</w:t>
            </w:r>
          </w:p>
        </w:tc>
        <w:tc>
          <w:tcPr>
            <w:tcW w:w="0" w:type="auto"/>
            <w:vMerge w:val="continue"/>
            <w:tcBorders>
              <w:top w:val="nil"/>
              <w:left w:val="nil"/>
              <w:bottom w:val="single" w:color="auto" w:sz="6" w:space="0"/>
              <w:right w:val="single" w:color="auto" w:sz="6" w:space="0"/>
            </w:tcBorders>
            <w:shd w:val="clear" w:color="auto" w:fill="FFFFFF"/>
            <w:vAlign w:val="center"/>
          </w:tcPr>
          <w:p>
            <w:pPr>
              <w:widowControl/>
              <w:jc w:val="left"/>
              <w:rPr>
                <w:rFonts w:ascii="宋体" w:hAnsi="宋体" w:eastAsia="宋体" w:cs="宋体"/>
                <w:color w:val="4F4F4F"/>
                <w:kern w:val="0"/>
                <w:szCs w:val="21"/>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jc w:val="left"/>
              <w:rPr>
                <w:rFonts w:ascii="宋体" w:hAnsi="宋体" w:eastAsia="宋体" w:cs="宋体"/>
                <w:color w:val="4F4F4F"/>
                <w:kern w:val="0"/>
                <w:szCs w:val="21"/>
              </w:rPr>
            </w:pPr>
          </w:p>
        </w:tc>
        <w:tc>
          <w:tcPr>
            <w:tcW w:w="8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洛南县交通运输局</w:t>
            </w:r>
          </w:p>
        </w:tc>
        <w:tc>
          <w:tcPr>
            <w:tcW w:w="0" w:type="auto"/>
            <w:vMerge w:val="continue"/>
            <w:tcBorders>
              <w:top w:val="nil"/>
              <w:left w:val="nil"/>
              <w:bottom w:val="single" w:color="auto" w:sz="6" w:space="0"/>
              <w:right w:val="single" w:color="auto" w:sz="6" w:space="0"/>
            </w:tcBorders>
            <w:shd w:val="clear" w:color="auto" w:fill="FFFFFF"/>
            <w:vAlign w:val="center"/>
          </w:tcPr>
          <w:p>
            <w:pPr>
              <w:widowControl/>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4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11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517" w:type="dxa"/>
            <w:tcBorders>
              <w:top w:val="nil"/>
              <w:left w:val="single" w:color="auto" w:sz="6" w:space="0"/>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8</w:t>
            </w:r>
          </w:p>
        </w:tc>
        <w:tc>
          <w:tcPr>
            <w:tcW w:w="0" w:type="auto"/>
            <w:vMerge w:val="continue"/>
            <w:tcBorders>
              <w:top w:val="nil"/>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569"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hd w:val="clear" w:color="auto" w:fill="FFFFFF"/>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Cs w:val="21"/>
              </w:rPr>
              <w:t>服务</w:t>
            </w:r>
          </w:p>
          <w:p>
            <w:pPr>
              <w:widowControl/>
              <w:shd w:val="clear" w:color="auto" w:fill="FFFFFF"/>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Cs w:val="21"/>
              </w:rPr>
              <w:t>信息</w:t>
            </w:r>
          </w:p>
          <w:p>
            <w:pPr>
              <w:widowControl/>
              <w:spacing w:line="330" w:lineRule="atLeast"/>
              <w:jc w:val="center"/>
              <w:rPr>
                <w:rFonts w:ascii="宋体" w:hAnsi="宋体" w:eastAsia="宋体" w:cs="宋体"/>
                <w:color w:val="4F4F4F"/>
                <w:kern w:val="0"/>
                <w:szCs w:val="21"/>
              </w:rPr>
            </w:pPr>
            <w:r>
              <w:rPr>
                <w:rFonts w:hint="eastAsia" w:ascii="宋体" w:hAnsi="宋体" w:eastAsia="宋体" w:cs="宋体"/>
                <w:color w:val="4F4F4F"/>
                <w:kern w:val="0"/>
                <w:sz w:val="24"/>
                <w:szCs w:val="24"/>
              </w:rPr>
              <w:t> </w:t>
            </w:r>
          </w:p>
        </w:tc>
        <w:tc>
          <w:tcPr>
            <w:tcW w:w="1391"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城市公共交通和道路客运相关服务信息。</w:t>
            </w:r>
          </w:p>
        </w:tc>
        <w:tc>
          <w:tcPr>
            <w:tcW w:w="0" w:type="auto"/>
            <w:vMerge w:val="continue"/>
            <w:tcBorders>
              <w:top w:val="nil"/>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0" w:type="auto"/>
            <w:vMerge w:val="continue"/>
            <w:tcBorders>
              <w:top w:val="nil"/>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884"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洛南县交通运输局</w:t>
            </w:r>
          </w:p>
        </w:tc>
        <w:tc>
          <w:tcPr>
            <w:tcW w:w="0" w:type="auto"/>
            <w:vMerge w:val="continue"/>
            <w:tcBorders>
              <w:top w:val="nil"/>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489"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1167"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2925" w:hRule="atLeast"/>
        </w:trPr>
        <w:tc>
          <w:tcPr>
            <w:tcW w:w="51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9</w:t>
            </w:r>
          </w:p>
        </w:tc>
        <w:tc>
          <w:tcPr>
            <w:tcW w:w="5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综合交通运输及多式联运</w:t>
            </w: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hd w:val="clear" w:color="auto" w:fill="FFFFFF"/>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Cs w:val="21"/>
              </w:rPr>
              <w:t>服务</w:t>
            </w:r>
          </w:p>
          <w:p>
            <w:pPr>
              <w:widowControl/>
              <w:shd w:val="clear" w:color="auto" w:fill="FFFFFF"/>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Cs w:val="21"/>
              </w:rPr>
              <w:t>信息</w:t>
            </w:r>
          </w:p>
          <w:p>
            <w:pPr>
              <w:widowControl/>
              <w:spacing w:line="330" w:lineRule="atLeast"/>
              <w:jc w:val="center"/>
              <w:rPr>
                <w:rFonts w:ascii="宋体" w:hAnsi="宋体" w:eastAsia="宋体" w:cs="宋体"/>
                <w:color w:val="4F4F4F"/>
                <w:kern w:val="0"/>
                <w:szCs w:val="21"/>
              </w:rPr>
            </w:pPr>
            <w:r>
              <w:rPr>
                <w:rFonts w:hint="eastAsia" w:ascii="宋体" w:hAnsi="宋体" w:eastAsia="宋体" w:cs="宋体"/>
                <w:color w:val="4F4F4F"/>
                <w:kern w:val="0"/>
                <w:sz w:val="24"/>
                <w:szCs w:val="24"/>
              </w:rPr>
              <w:t> </w:t>
            </w:r>
          </w:p>
        </w:tc>
        <w:tc>
          <w:tcPr>
            <w:tcW w:w="13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根据职责公开综合交通运输及多式联运管理服务有关信息。</w:t>
            </w:r>
          </w:p>
        </w:tc>
        <w:tc>
          <w:tcPr>
            <w:tcW w:w="131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《中华人民共和国政府信息公开条例》、《</w:t>
            </w:r>
            <w:r>
              <w:rPr>
                <w:rFonts w:hint="default" w:ascii="仿宋" w:hAnsi="仿宋" w:eastAsia="仿宋" w:cs="宋体"/>
                <w:color w:val="555555"/>
                <w:kern w:val="0"/>
                <w:sz w:val="24"/>
                <w:szCs w:val="24"/>
                <w:lang w:val="en"/>
              </w:rPr>
              <w:t>关于全面推进政务公开工作的意见</w:t>
            </w:r>
            <w:r>
              <w:rPr>
                <w:rFonts w:hint="eastAsia" w:ascii="仿宋" w:hAnsi="仿宋" w:eastAsia="仿宋" w:cs="宋体"/>
                <w:color w:val="555555"/>
                <w:kern w:val="0"/>
                <w:sz w:val="24"/>
                <w:szCs w:val="24"/>
              </w:rPr>
              <w:t>》、《交通运输领域基层政务公开标准指引》</w:t>
            </w:r>
          </w:p>
        </w:tc>
        <w:tc>
          <w:tcPr>
            <w:tcW w:w="568"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信息形成或变更之日起14个工作日内</w:t>
            </w:r>
          </w:p>
        </w:tc>
        <w:tc>
          <w:tcPr>
            <w:tcW w:w="8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洛南县交通运输局</w:t>
            </w:r>
          </w:p>
        </w:tc>
        <w:tc>
          <w:tcPr>
            <w:tcW w:w="112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hd w:val="clear" w:color="auto" w:fill="FFFFFF"/>
              <w:spacing w:line="330" w:lineRule="atLeast"/>
              <w:jc w:val="left"/>
              <w:rPr>
                <w:rFonts w:ascii="宋体" w:hAnsi="宋体" w:eastAsia="宋体" w:cs="宋体"/>
                <w:color w:val="4F4F4F"/>
                <w:kern w:val="0"/>
                <w:szCs w:val="21"/>
              </w:rPr>
            </w:pPr>
            <w:r>
              <w:rPr>
                <w:rFonts w:hint="eastAsia" w:ascii="仿宋" w:hAnsi="仿宋" w:eastAsia="仿宋" w:cs="宋体"/>
                <w:color w:val="555555"/>
                <w:kern w:val="0"/>
                <w:szCs w:val="21"/>
              </w:rPr>
              <w:t>■政府网站</w:t>
            </w:r>
          </w:p>
          <w:p>
            <w:pPr>
              <w:widowControl/>
              <w:shd w:val="clear" w:color="auto" w:fill="FFFFFF"/>
              <w:spacing w:line="330" w:lineRule="atLeast"/>
              <w:jc w:val="left"/>
              <w:rPr>
                <w:rFonts w:ascii="宋体" w:hAnsi="宋体" w:eastAsia="宋体" w:cs="宋体"/>
                <w:color w:val="4F4F4F"/>
                <w:kern w:val="0"/>
                <w:szCs w:val="21"/>
              </w:rPr>
            </w:pPr>
            <w:r>
              <w:rPr>
                <w:rFonts w:hint="eastAsia" w:ascii="宋体" w:hAnsi="宋体" w:eastAsia="宋体" w:cs="宋体"/>
                <w:color w:val="555555"/>
                <w:kern w:val="0"/>
                <w:szCs w:val="21"/>
              </w:rPr>
              <w:t> </w:t>
            </w:r>
          </w:p>
          <w:p>
            <w:pPr>
              <w:widowControl/>
              <w:spacing w:line="330" w:lineRule="atLeast"/>
              <w:jc w:val="center"/>
              <w:rPr>
                <w:rFonts w:ascii="宋体" w:hAnsi="宋体" w:eastAsia="宋体" w:cs="宋体"/>
                <w:color w:val="4F4F4F"/>
                <w:kern w:val="0"/>
                <w:szCs w:val="21"/>
              </w:rPr>
            </w:pPr>
            <w:r>
              <w:rPr>
                <w:rFonts w:hint="eastAsia" w:ascii="宋体" w:hAnsi="宋体" w:eastAsia="宋体" w:cs="宋体"/>
                <w:color w:val="4F4F4F"/>
                <w:kern w:val="0"/>
                <w:sz w:val="24"/>
                <w:szCs w:val="24"/>
              </w:rPr>
              <w:t> </w:t>
            </w: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4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11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17" w:type="dxa"/>
            <w:tcBorders>
              <w:top w:val="nil"/>
              <w:left w:val="single" w:color="auto" w:sz="6" w:space="0"/>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10</w:t>
            </w:r>
          </w:p>
        </w:tc>
        <w:tc>
          <w:tcPr>
            <w:tcW w:w="589"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其他依法依规应公开的事项</w:t>
            </w:r>
          </w:p>
        </w:tc>
        <w:tc>
          <w:tcPr>
            <w:tcW w:w="569"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1391"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其他依法依规应公开的事项等。</w:t>
            </w:r>
          </w:p>
        </w:tc>
        <w:tc>
          <w:tcPr>
            <w:tcW w:w="0" w:type="auto"/>
            <w:vMerge w:val="continue"/>
            <w:tcBorders>
              <w:top w:val="nil"/>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0" w:type="auto"/>
            <w:vMerge w:val="continue"/>
            <w:tcBorders>
              <w:top w:val="nil"/>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884"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555555"/>
                <w:kern w:val="0"/>
                <w:sz w:val="24"/>
                <w:szCs w:val="24"/>
              </w:rPr>
              <w:t>洛南县交通运输局</w:t>
            </w:r>
          </w:p>
        </w:tc>
        <w:tc>
          <w:tcPr>
            <w:tcW w:w="0" w:type="auto"/>
            <w:vMerge w:val="continue"/>
            <w:tcBorders>
              <w:top w:val="nil"/>
              <w:left w:val="nil"/>
              <w:bottom w:val="single" w:color="auto" w:sz="6" w:space="0"/>
              <w:right w:val="single" w:color="auto" w:sz="6" w:space="0"/>
            </w:tcBorders>
            <w:shd w:val="clear" w:color="auto" w:fill="F7F7F7"/>
            <w:vAlign w:val="center"/>
          </w:tcPr>
          <w:p>
            <w:pPr>
              <w:widowControl/>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568"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c>
          <w:tcPr>
            <w:tcW w:w="489"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center"/>
              <w:rPr>
                <w:rFonts w:ascii="宋体" w:hAnsi="宋体" w:eastAsia="宋体" w:cs="宋体"/>
                <w:color w:val="4F4F4F"/>
                <w:kern w:val="0"/>
                <w:szCs w:val="21"/>
              </w:rPr>
            </w:pPr>
            <w:r>
              <w:rPr>
                <w:rFonts w:hint="eastAsia" w:ascii="仿宋" w:hAnsi="仿宋" w:eastAsia="仿宋" w:cs="宋体"/>
                <w:color w:val="4F4F4F"/>
                <w:kern w:val="0"/>
                <w:sz w:val="24"/>
                <w:szCs w:val="24"/>
              </w:rPr>
              <w:t>√</w:t>
            </w:r>
          </w:p>
        </w:tc>
        <w:tc>
          <w:tcPr>
            <w:tcW w:w="1167" w:type="dxa"/>
            <w:tcBorders>
              <w:top w:val="nil"/>
              <w:left w:val="nil"/>
              <w:bottom w:val="single" w:color="auto" w:sz="6" w:space="0"/>
              <w:right w:val="single" w:color="auto" w:sz="6" w:space="0"/>
            </w:tcBorders>
            <w:shd w:val="clear" w:color="auto" w:fill="F7F7F7"/>
            <w:tcMar>
              <w:top w:w="0" w:type="dxa"/>
              <w:left w:w="105" w:type="dxa"/>
              <w:bottom w:w="0" w:type="dxa"/>
              <w:right w:w="105" w:type="dxa"/>
            </w:tcMar>
            <w:vAlign w:val="center"/>
          </w:tcPr>
          <w:p>
            <w:pPr>
              <w:widowControl/>
              <w:spacing w:line="330" w:lineRule="atLeast"/>
              <w:jc w:val="left"/>
              <w:rPr>
                <w:rFonts w:ascii="宋体" w:hAnsi="宋体" w:eastAsia="宋体" w:cs="宋体"/>
                <w:color w:val="4F4F4F"/>
                <w:kern w:val="0"/>
                <w:szCs w:val="21"/>
              </w:rPr>
            </w:pPr>
          </w:p>
        </w:tc>
      </w:tr>
    </w:tbl>
    <w:p>
      <w:pPr>
        <w:jc w:val="center"/>
        <w:rPr>
          <w:rFonts w:hint="eastAsia" w:ascii="方正小标宋简体" w:eastAsia="方正小标宋简体"/>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3E26"/>
    <w:rsid w:val="00353E26"/>
    <w:rsid w:val="00565F13"/>
    <w:rsid w:val="006D4266"/>
    <w:rsid w:val="00A155CF"/>
    <w:rsid w:val="EF5BF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164</Words>
  <Characters>935</Characters>
  <Lines>7</Lines>
  <Paragraphs>2</Paragraphs>
  <TotalTime>8</TotalTime>
  <ScaleCrop>false</ScaleCrop>
  <LinksUpToDate>false</LinksUpToDate>
  <CharactersWithSpaces>1097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2022-11-21T14:37:00Z</dcterms:created>
  <dc:creator>用户孙卫平</dc:creator>
  <cp:lastModifiedBy>admin</cp:lastModifiedBy>
  <dcterms:modified xsi:type="dcterms:W3CDTF">2024-04-11T09:42:50Z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