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  <w:t>深入开展</w:t>
      </w: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  <w:t>爱国卫生运动重点任务分解表</w:t>
      </w:r>
    </w:p>
    <w:p>
      <w:pPr>
        <w:adjustRightInd w:val="0"/>
        <w:snapToGrid w:val="0"/>
        <w:spacing w:line="2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tbl>
      <w:tblPr>
        <w:tblStyle w:val="5"/>
        <w:tblW w:w="13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753"/>
        <w:gridCol w:w="9143"/>
        <w:gridCol w:w="1569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9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主要任务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牵头单位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配合单位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全面治理影响健康环境因素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全面治理影响健康环境因素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实施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城乡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环境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整治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行动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加强城镇环卫设施建设,抓好环境卫生的清扫保洁,加大城市老旧小区、城中村、背街小巷、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城乡接合部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、农贸市场等部位的综合整治力度,着力打造宜居宜业宜游的人居环境。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住建局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城管局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大农村人居环境整治力度,围绕清洁村庄道路、河道、街巷、庭院、圈厕、田园“六清”，聚焦治理垃圾乱倒、污水乱排、棚圈乱搭、车辆乱停、柴草乱垛、粪土乱堆“六治”,实现无垃圾、无污水、无塑料、无污染、无危房、无焚烧“六无”目标,纵深推进秦岭山水乡村建设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农业农村局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生态环境分局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推进农贸市场标准化提升改造,规范市场功能布局。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经贸局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严格农副产品农药残留检测,加强进口冷链食品管理,全面禁止非法野生动物交易，加强小餐饮店、小食品店、小作坊等食品生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产经营场所监管,推进“明厨亮灶”,实施食品生产经营风险分级管理。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市场监管局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经贸局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林业局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城关街办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四皓街办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强大气、水、土壤污染治理,实施主要污染物排放总量控制,严厉打击违法排污行为、建立环境与健康调查、监测与风险评估制度,定期开展城乡环境卫生状况评价。到2025年,环境空气质量指数不超过100的天数≥300天，受污染耕地及污染地块安全利用率巩固提升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生态环境分局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水利局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实施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垃圾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污水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治理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行动</w:t>
            </w:r>
          </w:p>
        </w:tc>
        <w:tc>
          <w:tcPr>
            <w:tcW w:w="91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Cs w:val="21"/>
              </w:rPr>
              <w:t>进一步完善生活垃圾收集、转运、处置体系建设,全面推进城区生活垃圾分类、加快生活垃圾分类处理设施建设,做好生活垃圾分类投放、分类收集、分类运输、分类处理、提高生活垃圾减量化、资源化、无害化水平。加强生活垃圾分类宣传教育,提高居民垃圾分类知晓率,引导群众主动参与垃圾分类。到2025年,城区生活垃圾分类覆盖率达到80%以上,农村生活垃圾收运处置体系覆盖90%以上的自然村。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城管局</w:t>
            </w:r>
          </w:p>
        </w:tc>
        <w:tc>
          <w:tcPr>
            <w:tcW w:w="1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住建局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加强城乡生活污水处理设施建设,因地制宜推广分散处理和集中处理相结合、污染治理与资源利用相结合的建设模式和处理工艺,推动有条件的城镇污水管网向周边村庄延伸覆盖,实现污水集中处理。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城管局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住建局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加快推进农业面源污染防治,持续实施农药化肥减量增效, 推动精准施肥、 科学用药、加强农作物秸秆综合利用、废旧农膜回收利用,综合利用率分别提高到85%以上,深入推进畜禽养殖污染防治,进一步提高设施装备配套率和资源化利用水平, 全县畜禽养殖粪污综合利用率达到85%以上。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农业农村局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严格医疗废物处置和医疗污水处理全过程监管,做到医疗废物收集、 存贮、 转运、处置过程规范化、完善医疗污水处理设施,严禁未经消毒处理或处理不达标的医疗污水排放。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生态环境分局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实施厕所革命行动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坚持进度服从质量、进度服从实效,求好不求快的加则,持续快农村户用卫生厕所建设和改造提升,引导农村新建住房配套建设卫生厕所。到2025年,全县农村户用卫生厕所普及率达到75%以上。人口规模较大的村庄至少配套建设1座公共卫生厕所,积极推进厕所类污无害化处理和资源化利用。坚持统筹规划、合理布局、设施完善、方便群众的原则,加快城镇公共卫生厕所建设,加强镇办、机关、企事业单位厕所的提升改造,鼓励机关、企事业单位厕所对社会开放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农业农村局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深入推进旅游厕所提档升级,规范厕所标识,加强智能化水平,推广旅游厕所数字地图,提升管理服务水平。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文旅局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全面提升公路沿线服务区厕所管护水平,不断改善交通沿线如厕条件和环境。推进学校厕所改造建设,大力开展农贸市场、医疗卫生机构、中小学校、客运站等重点公共场所厕所环境整治,有效改善厕所环境卫生状况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交通局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科教体局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经贸局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实施饮用水安全保障行动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依法严格饮用水水源保护区及保护范围监管,加强净水厂和水质安全管理,完善供水应急预案和突发供水事故应急处理措施,建立饮用水安全保障体系。健全水源保护、水质净化及消毒、管网输配水等供水全过程监管体系,加强对饮用水水源、水厂供水和用水点的水质监测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水利局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生态环境分局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实施规模化供水工程建设和小型集中供水工程标准化改造,鼓励有条件的县推进城乡。供水一体化,进一步提高农村供水安全保障能力。到2025年,全县农村自来水普及率达到95%,规模化供水人口覆盖比例达到33%。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水利局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加快城市供水设施建设改造,扩大供水范围,提高供水能力,加强二次供水规范化管理。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水利局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实施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病媒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生物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预防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控制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行动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落实《商洛市病媒生物预防控制管理办法》,实行病媒生物预防控制单位责任制、坚持日常防制与集中防制、专业防制与常规防制相结合,广泛发动全社会参与,积极开展以环境治理为主、药物防治为辅的病媒生物防制活动,有效控制鼠、蚊、蝇、蟑螂等病媒生物密度水平。到2025年,城镇病媒生物密度控制水平达到C级以上,加强病媒生物孳生地治理和防护设施标准化建设,每年组织开展病媒生物孳生地调查和治理,做好春、秋季灭鼠和夏、秋季灭蚊蝇、蟑螂工作,消除病媒生物孳生环境,切断传染病传播途径。健全病媒生物监测网络,加强病媒生物监测,定期开展病媒生物及相关传染病风险评估、提高媒介传染病预警能力,科学指导媒介传染病防控工作。加强宣传教育和技术培训、强化病媒消杀队伍建设,提升病媒生物防制能力、有效防控流行性出血热等媒介传染病的发生流行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爱卫办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城区各单位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全面倡导文明绿色环保生活方式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全面倡导文明绿色环保生活方式</w:t>
            </w: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培养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文明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习惯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加强健康促进与健康教育专业队伍建设,完善健康科普专家库和健康科普资源库,构建融媒体健康科普知识发布传播审核机制。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文旅局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开展健康科普知识进村镇、进社区、进机关、进企业、进学校、进家庭活动,组织安全避险、急救逃生、科学就医、合理用药等培训,宣传新型冠状病毒肺炎疫情防控中的好经验好做法,倡导注重咳嗽礼仪,坚决杜绝随地吐痰、乱扔垃圾、公共场所吸烟等行为,推广“七步洗手法”、室内常通风、正确戴口罩、保持社交1米线、分餐公筷、看病网上预约等文明健康生活习惯,从源头上防控疾病传播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将健康教育纳入中小学生健康课程,按规定配备校医和专兼职心理健康教育教师,加强近视、肥胖、龋齿、脊柱弯曲异常等常见病和传染病预防,开展心理调适、伤害防范等宣传教育和实践活动,家校联动形成教育合力,家校共育促进学生成长,以“小手拉大手”促进全社会形成文明卫生习惯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科教体局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倡导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生活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大健康生活方式科普力度,引导群众学习健康知识,掌握基本健康技能,牢固树立“每个人是自己健康第一责任人”理念,养成戒烟限酒、适量运动、合理膳食、心理平衡的健康生活方式,有效预防高血压、糖尿病等慢性病,实施全人群健康促进行动,到2025年、人均预期寿命达到78.3岁,居民健康素养水平达到25%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积极开展“三减三健”(减盐、减油、减糖,健康口腔、健康体重、健康骨骼)宣教活动,推广使用健康“小三件”(限量盐勺、限量油壶和健康腰围尺)。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针对重点人群做好精准宣传和健康干预,开展妇女宫颈癌、乳腺癌筛查,推进儿童青少年近视、肥胖监测和预防,落实老年人的心脑血管等疾病防治,实施职业人群的危害防护和健康管理。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大控烟宣传及控烟执法力度,积极推动出台全县公共场所控烟管理规定,加快无烟单位、无烟学校、无烟医院、无烟家庭等无烟环境建设,将无烟单位建设工作纳入文明单位、卫生单位等考评体系。设置标准化戒烟门诊,推进戒烟服务网络建设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践行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绿色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环保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理念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大生态环保意识宣传,倡导节约适度、绿色低碳生活方式,珍惜水电等资源能源,推广使用节能降耗产品,树立爱粮节粮等意识,持续开展“光盘行动”,拒绝“舌尖上”的浪费积极创建节约型机关、绿色家庭、绿色校园、绿色社区、绿色企业等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发改局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按照“慢行优先、公交优先、绿色优先”发展理念,完善城市慢行系统,优先发展公共交通,加快构建绿色低碳交通体系,大力倡导居民采用“步行+公交”“自行车+公交”出行方式。倡导公众抵制高能耗、高排放产品和过度包装商品。积极鼓励使用环保用品,限制使用不可降解塑料袋、一次性餐具等,推广使用可循环、易回收、可降解材料替代品、减少包装材料使用,解决过度包装问题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发改局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开展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全民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健身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推进全民健身公共体育服务体系建设,统筹建设全民健身公共设施,加强健身长廊、广场、步道和体育公园等支持性环境建设,改善城乡居民运动健身条件。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科教体局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推进公共体育设施免费或低收费开放,鼓励有条件的学校、企事业单位运动场馆向社会开放使用,逐步提高公共体育设施覆盖率、开放率和利用率。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科教体局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加强职工体育,推动机关、企事业单位落实工间操制度,开展符合单位特点的健身和竞赛活动、组织残疾人参加文体活动和体育赛事。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科教体局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实施国民体质监测和国家体育锻炼标准,加强中小学学生体质健康水平监测和评估干预,把在校学生体质健康状况纳入对学校的考核评价。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科教体局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广泛开展全民健身赛事活动,加强科学健身指导服务,营造良好的全民健身氛围,到2025年,全县经常参加体育锻炼人数比例达到40%,人均体育场地面积达到2.2平方米以上,城市社区15分钟健身圈基本建成,农村公共体育设施覆盖率基本达到100%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科教体局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完善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心理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体系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建立健全突发公共事件处置中的社会心理健康监测预警机制,不断完善便民高效的心理健康服务体系,加强心理健康促进和心理疏导、危机干预工作。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加强重点人群心理健康科普知识宣传和服务,广泛传播自尊自信、理性平和、乐观积极的理念,引导个人和家庭形成和谐向上的氛围。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加强心理健康服务志愿者队伍建设,探索社会心理服务疏导和危机干预规范管理,提升心理援助热线服务水平。到2025年,心理相关疾病发生的上升趋势减缓。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全面推进健康洛南建设</w:t>
            </w: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扎实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推进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城镇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创建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深入开展卫生县、卫生单位、卫生镇、卫生村创建工作,推动形成各部门齐抓共管、全社会广泛参与的工作格局,到2025年,创建为国家卫生县,国家卫生镇覆盖率达到20%。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爱卫办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积极主动开展国家卫生县创建活动,制定科学合理的创建方案,为群众打造良好的健康宜居生活环境,到2025年,创建为国家卫生县。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创卫办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城区各单位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城关街办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四皓街办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加强对卫生城镇的技术指导和监督管理,完善长效动态管理机制,对已命名的卫生单位、卫生镇、卫生村加强管理,建立定期抽查制度,不断巩固提升创建成果。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爱卫办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加快推进健康城镇建设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将卫生城镇创建与健康县建设、健康乡镇建设、健康细胞示范建设有机融合,积极引导卫生城镇向健康城镇发展,努力打造卫生城镇升级版。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建立健康县、健康镇村基本评价体系,全力推动将健康政策纳入城市规划、市政设施建设、道路交通、社会保障等各项公共政策并保障落实。到2025年，建成国家卫生县并启动开展健康县建设工作,建成的国家卫生镇开展健康镇建设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爱卫办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深入推进健康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细胞示范建设</w:t>
            </w:r>
          </w:p>
        </w:tc>
        <w:tc>
          <w:tcPr>
            <w:tcW w:w="9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持续深入开展8类健康细胞示范建设,组织引导机关、社区、村庄、学校、医院、企业、家庭及广大居民积极参与,提高全社会参与度。2025年,健康细胞建设广泛开展,形成一批具有典型示范作用的单位,以县为单位健康机关、健康社区、健康村庄、健康学校、健康企业、健康医院、健康军营建设率达到75%,健康家庭建设率达到35%。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卫健局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各镇办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985" w:right="1531" w:bottom="1588" w:left="1531" w:header="851" w:footer="1247" w:gutter="0"/>
          <w:pgNumType w:fmt="numberInDash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  <w:u w:val="single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sectPr>
      <w:pgSz w:w="11906" w:h="16838"/>
      <w:pgMar w:top="1985" w:right="1531" w:bottom="1588" w:left="1531" w:header="851" w:footer="124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381" w:leftChars="1134" w:right="420" w:rightChars="2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leftChars="200" w:right="420" w:righ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ODU4MjlkMTBiMjIxYjk5YjEzNGYwYjBmM2YwOTMifQ=="/>
  </w:docVars>
  <w:rsids>
    <w:rsidRoot w:val="72991DC0"/>
    <w:rsid w:val="003A3E07"/>
    <w:rsid w:val="00552847"/>
    <w:rsid w:val="0062526F"/>
    <w:rsid w:val="006311B4"/>
    <w:rsid w:val="00712E8B"/>
    <w:rsid w:val="00B60ABC"/>
    <w:rsid w:val="00C8440B"/>
    <w:rsid w:val="00D21E41"/>
    <w:rsid w:val="00D30F2B"/>
    <w:rsid w:val="00EE373B"/>
    <w:rsid w:val="00F33DCB"/>
    <w:rsid w:val="041D47D5"/>
    <w:rsid w:val="069A369F"/>
    <w:rsid w:val="0D292DC9"/>
    <w:rsid w:val="0D804998"/>
    <w:rsid w:val="12B02CB8"/>
    <w:rsid w:val="13FD1F2D"/>
    <w:rsid w:val="15374A92"/>
    <w:rsid w:val="264800EF"/>
    <w:rsid w:val="2A147617"/>
    <w:rsid w:val="2B3C1135"/>
    <w:rsid w:val="30872E52"/>
    <w:rsid w:val="37C8622A"/>
    <w:rsid w:val="39BE292C"/>
    <w:rsid w:val="41583648"/>
    <w:rsid w:val="43C875B2"/>
    <w:rsid w:val="445F3A72"/>
    <w:rsid w:val="449D459A"/>
    <w:rsid w:val="46743F66"/>
    <w:rsid w:val="4BCD53C6"/>
    <w:rsid w:val="4C4F0870"/>
    <w:rsid w:val="4F457D08"/>
    <w:rsid w:val="4FC926E8"/>
    <w:rsid w:val="50334005"/>
    <w:rsid w:val="53514ECE"/>
    <w:rsid w:val="5DAD1F32"/>
    <w:rsid w:val="61F5214B"/>
    <w:rsid w:val="63076668"/>
    <w:rsid w:val="66D36E2D"/>
    <w:rsid w:val="68914EE9"/>
    <w:rsid w:val="694A4441"/>
    <w:rsid w:val="720075DA"/>
    <w:rsid w:val="72991DC0"/>
    <w:rsid w:val="73555EBD"/>
    <w:rsid w:val="777F79AC"/>
    <w:rsid w:val="78CC6C21"/>
    <w:rsid w:val="7F503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1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文本1"/>
    <w:basedOn w:val="7"/>
    <w:qFormat/>
    <w:uiPriority w:val="0"/>
    <w:pPr>
      <w:spacing w:after="120"/>
    </w:p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6</Pages>
  <Words>4548</Words>
  <Characters>4631</Characters>
  <Lines>84</Lines>
  <Paragraphs>23</Paragraphs>
  <TotalTime>4</TotalTime>
  <ScaleCrop>false</ScaleCrop>
  <LinksUpToDate>false</LinksUpToDate>
  <CharactersWithSpaces>4636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2022-11-21T06:34:00Z</dcterms:created>
  <dc:creator>Administrator</dc:creator>
  <cp:lastModifiedBy>Lenovo</cp:lastModifiedBy>
  <cp:lastPrinted>2022-11-21T06:41:00Z</cp:lastPrinted>
  <dcterms:modified xsi:type="dcterms:W3CDTF">2023-01-10T01:38:38Z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0E9679E4DE5A4CD5BF1AF2952BE2AF68</vt:lpwstr>
  </property>
</Properties>
</file>