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pPr>
        <w:jc w:val="center"/>
        <w:rPr>
          <w:rFonts w:ascii="Times New Roman" w:hAnsi="Times New Roman" w:eastAsia="方正小标宋简体"/>
          <w:color w:val="FFFFFF"/>
        </w:rPr>
      </w:pPr>
      <w:bookmarkStart w:id="218" w:name="_GoBack"/>
      <w:bookmarkEnd w:id="218"/>
    </w:p>
    <w:p>
      <w:pPr>
        <w:jc w:val="center"/>
        <w:rPr>
          <w:rFonts w:ascii="Times New Roman" w:hAnsi="Times New Roman" w:eastAsia="方正小标宋简体"/>
          <w:b/>
          <w:bCs/>
          <w:color w:val="000000"/>
          <w:sz w:val="40"/>
          <w:szCs w:val="40"/>
        </w:rPr>
      </w:pPr>
      <w:bookmarkStart w:id="0" w:name="_Toc14037"/>
      <w:r>
        <w:rPr>
          <w:rFonts w:hint="eastAsia" w:ascii="Times New Roman" w:hAnsi="Times New Roman" w:eastAsia="方正小标宋简体"/>
          <w:b/>
          <w:bCs/>
          <w:color w:val="000000"/>
          <w:sz w:val="40"/>
          <w:szCs w:val="40"/>
        </w:rPr>
        <w:t>目</w:t>
      </w:r>
      <w:r>
        <w:rPr>
          <w:rFonts w:ascii="Times New Roman" w:hAnsi="Times New Roman" w:eastAsia="方正小标宋简体"/>
          <w:b/>
          <w:bCs/>
          <w:color w:val="000000"/>
          <w:sz w:val="40"/>
          <w:szCs w:val="40"/>
        </w:rPr>
        <w:t xml:space="preserve">  </w:t>
      </w:r>
      <w:r>
        <w:rPr>
          <w:rFonts w:hint="eastAsia" w:ascii="Times New Roman" w:hAnsi="Times New Roman" w:eastAsia="方正小标宋简体"/>
          <w:b/>
          <w:bCs/>
          <w:color w:val="000000"/>
          <w:sz w:val="40"/>
          <w:szCs w:val="40"/>
        </w:rPr>
        <w:t>录</w:t>
      </w:r>
    </w:p>
    <w:p>
      <w:pPr>
        <w:pStyle w:val="2"/>
        <w:rPr>
          <w:rFonts w:ascii="Times New Roman" w:hAnsi="Times New Roman"/>
          <w:color w:val="000000"/>
        </w:rPr>
      </w:pPr>
    </w:p>
    <w:p>
      <w:pPr>
        <w:pStyle w:val="5"/>
        <w:tabs>
          <w:tab w:val="right" w:leader="dot" w:pos="8844"/>
        </w:tabs>
        <w:spacing w:line="320" w:lineRule="exact"/>
        <w:rPr>
          <w:rFonts w:ascii="Times New Roman" w:hAnsi="Times New Roman"/>
          <w:color w:val="000000"/>
        </w:rPr>
      </w:pPr>
      <w:r>
        <w:rPr>
          <w:rFonts w:ascii="Times New Roman" w:hAnsi="Times New Roman"/>
          <w:color w:val="000000"/>
        </w:rPr>
        <w:fldChar w:fldCharType="begin"/>
      </w:r>
      <w:r>
        <w:rPr>
          <w:rFonts w:ascii="Times New Roman" w:hAnsi="Times New Roman"/>
          <w:color w:val="000000"/>
        </w:rPr>
        <w:instrText xml:space="preserve">TOC \o "1-2" \h \u </w:instrText>
      </w:r>
      <w:r>
        <w:rPr>
          <w:rFonts w:ascii="Times New Roman" w:hAnsi="Times New Roman"/>
          <w:color w:val="000000"/>
        </w:rPr>
        <w:fldChar w:fldCharType="separate"/>
      </w:r>
      <w:r>
        <w:fldChar w:fldCharType="begin"/>
      </w:r>
      <w:r>
        <w:instrText xml:space="preserve"> HYPERLINK \l "_Toc4425" </w:instrText>
      </w:r>
      <w:r>
        <w:fldChar w:fldCharType="separate"/>
      </w:r>
      <w:r>
        <w:rPr>
          <w:rFonts w:hint="eastAsia" w:ascii="Times New Roman" w:hAnsi="Times New Roman" w:eastAsia="方正小标宋简体"/>
          <w:bCs/>
          <w:color w:val="000000"/>
          <w:szCs w:val="40"/>
        </w:rPr>
        <w:t>前</w:t>
      </w:r>
      <w:r>
        <w:rPr>
          <w:rFonts w:ascii="Times New Roman" w:hAnsi="Times New Roman" w:eastAsia="方正小标宋简体"/>
          <w:bCs/>
          <w:color w:val="000000"/>
          <w:szCs w:val="40"/>
        </w:rPr>
        <w:t xml:space="preserve">   </w:t>
      </w:r>
      <w:r>
        <w:rPr>
          <w:rFonts w:hint="eastAsia" w:ascii="Times New Roman" w:hAnsi="Times New Roman" w:eastAsia="方正小标宋简体"/>
          <w:bCs/>
          <w:color w:val="000000"/>
          <w:szCs w:val="40"/>
        </w:rPr>
        <w:t>言</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_Toc4425 </w:instrText>
      </w:r>
      <w:r>
        <w:rPr>
          <w:rFonts w:ascii="Times New Roman" w:hAnsi="Times New Roman"/>
          <w:color w:val="000000"/>
        </w:rPr>
        <w:fldChar w:fldCharType="separate"/>
      </w:r>
      <w:r>
        <w:rPr>
          <w:rFonts w:ascii="Times New Roman" w:hAnsi="Times New Roman"/>
          <w:color w:val="000000"/>
        </w:rPr>
        <w:t xml:space="preserve">- </w:t>
      </w:r>
      <w:r>
        <w:rPr>
          <w:rFonts w:hint="eastAsia" w:ascii="Times New Roman" w:hAnsi="Times New Roman"/>
          <w:color w:val="000000"/>
          <w:lang w:val="en-US" w:eastAsia="zh-CN"/>
        </w:rPr>
        <w:t>1</w:t>
      </w:r>
      <w:r>
        <w:rPr>
          <w:rFonts w:ascii="Times New Roman" w:hAnsi="Times New Roman"/>
          <w:color w:val="000000"/>
        </w:rPr>
        <w:t xml:space="preserve"> -</w:t>
      </w:r>
      <w:r>
        <w:rPr>
          <w:rFonts w:ascii="Times New Roman" w:hAnsi="Times New Roman"/>
          <w:color w:val="000000"/>
        </w:rPr>
        <w:fldChar w:fldCharType="end"/>
      </w:r>
      <w:r>
        <w:rPr>
          <w:rFonts w:ascii="Times New Roman" w:hAnsi="Times New Roman"/>
          <w:color w:val="000000"/>
        </w:rPr>
        <w:fldChar w:fldCharType="end"/>
      </w:r>
    </w:p>
    <w:p>
      <w:pPr>
        <w:pStyle w:val="5"/>
        <w:tabs>
          <w:tab w:val="right" w:leader="dot" w:pos="8844"/>
        </w:tabs>
        <w:spacing w:line="320" w:lineRule="exact"/>
        <w:rPr>
          <w:rFonts w:ascii="Times New Roman" w:hAnsi="Times New Roman"/>
          <w:color w:val="000000"/>
        </w:rPr>
      </w:pPr>
      <w:r>
        <w:fldChar w:fldCharType="begin"/>
      </w:r>
      <w:r>
        <w:instrText xml:space="preserve"> HYPERLINK \l "_Toc8618" </w:instrText>
      </w:r>
      <w:r>
        <w:fldChar w:fldCharType="separate"/>
      </w:r>
      <w:r>
        <w:rPr>
          <w:rFonts w:hint="eastAsia" w:ascii="Times New Roman" w:hAnsi="Times New Roman" w:eastAsia="方正小标宋简体"/>
          <w:bCs/>
          <w:color w:val="000000"/>
          <w:szCs w:val="40"/>
        </w:rPr>
        <w:t>第一章</w:t>
      </w:r>
      <w:r>
        <w:rPr>
          <w:rFonts w:ascii="Times New Roman" w:hAnsi="Times New Roman" w:eastAsia="方正小标宋简体"/>
          <w:bCs/>
          <w:color w:val="000000"/>
          <w:szCs w:val="40"/>
        </w:rPr>
        <w:t xml:space="preserve"> </w:t>
      </w:r>
      <w:r>
        <w:rPr>
          <w:rFonts w:hint="eastAsia" w:ascii="Times New Roman" w:hAnsi="Times New Roman" w:eastAsia="方正小标宋简体"/>
          <w:bCs/>
          <w:color w:val="000000"/>
          <w:szCs w:val="40"/>
        </w:rPr>
        <w:t>方案编制背景</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_Toc8618 </w:instrText>
      </w:r>
      <w:r>
        <w:rPr>
          <w:rFonts w:ascii="Times New Roman" w:hAnsi="Times New Roman"/>
          <w:color w:val="000000"/>
        </w:rPr>
        <w:fldChar w:fldCharType="separate"/>
      </w:r>
      <w:r>
        <w:rPr>
          <w:rFonts w:ascii="Times New Roman" w:hAnsi="Times New Roman"/>
          <w:color w:val="000000"/>
        </w:rPr>
        <w:t>- 2 -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spacing w:line="320" w:lineRule="exact"/>
        <w:ind w:left="31680"/>
        <w:rPr>
          <w:rFonts w:ascii="Times New Roman" w:hAnsi="Times New Roman"/>
          <w:color w:val="000000"/>
        </w:rPr>
      </w:pPr>
      <w:r>
        <w:fldChar w:fldCharType="begin"/>
      </w:r>
      <w:r>
        <w:instrText xml:space="preserve"> HYPERLINK \l "_Toc15386" </w:instrText>
      </w:r>
      <w:r>
        <w:fldChar w:fldCharType="separate"/>
      </w:r>
      <w:r>
        <w:rPr>
          <w:rFonts w:hint="eastAsia" w:ascii="Times New Roman" w:hAnsi="Times New Roman" w:eastAsia="楷体_GB2312"/>
          <w:bCs/>
          <w:color w:val="000000"/>
          <w:szCs w:val="32"/>
        </w:rPr>
        <w:t>第一节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保护历程</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_Toc15386 </w:instrText>
      </w:r>
      <w:r>
        <w:rPr>
          <w:rFonts w:ascii="Times New Roman" w:hAnsi="Times New Roman"/>
          <w:color w:val="000000"/>
        </w:rPr>
        <w:fldChar w:fldCharType="separate"/>
      </w:r>
      <w:r>
        <w:rPr>
          <w:rFonts w:ascii="Times New Roman" w:hAnsi="Times New Roman"/>
          <w:color w:val="000000"/>
        </w:rPr>
        <w:t>- 2 -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spacing w:line="320" w:lineRule="exact"/>
        <w:ind w:left="31680"/>
        <w:rPr>
          <w:rFonts w:ascii="Times New Roman" w:hAnsi="Times New Roman"/>
          <w:color w:val="000000"/>
        </w:rPr>
      </w:pPr>
      <w:r>
        <w:fldChar w:fldCharType="begin"/>
      </w:r>
      <w:r>
        <w:instrText xml:space="preserve"> HYPERLINK \l "_Toc27071" </w:instrText>
      </w:r>
      <w:r>
        <w:fldChar w:fldCharType="separate"/>
      </w:r>
      <w:r>
        <w:rPr>
          <w:rFonts w:hint="eastAsia" w:ascii="Times New Roman" w:hAnsi="Times New Roman" w:eastAsia="楷体_GB2312"/>
          <w:bCs/>
          <w:color w:val="000000"/>
          <w:szCs w:val="32"/>
        </w:rPr>
        <w:t>第二节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保护范围</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_Toc27071 </w:instrText>
      </w:r>
      <w:r>
        <w:rPr>
          <w:rFonts w:ascii="Times New Roman" w:hAnsi="Times New Roman"/>
          <w:color w:val="000000"/>
        </w:rPr>
        <w:fldChar w:fldCharType="separate"/>
      </w:r>
      <w:r>
        <w:rPr>
          <w:rFonts w:ascii="Times New Roman" w:hAnsi="Times New Roman"/>
          <w:color w:val="000000"/>
        </w:rPr>
        <w:t>- 3 -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spacing w:line="320" w:lineRule="exact"/>
        <w:ind w:left="31680"/>
        <w:rPr>
          <w:rFonts w:ascii="Times New Roman" w:hAnsi="Times New Roman"/>
          <w:color w:val="000000"/>
        </w:rPr>
      </w:pPr>
      <w:r>
        <w:fldChar w:fldCharType="begin"/>
      </w:r>
      <w:r>
        <w:instrText xml:space="preserve"> HYPERLINK \l "_Toc2788" </w:instrText>
      </w:r>
      <w:r>
        <w:fldChar w:fldCharType="separate"/>
      </w:r>
      <w:r>
        <w:rPr>
          <w:rFonts w:hint="eastAsia" w:ascii="Times New Roman" w:hAnsi="Times New Roman" w:eastAsia="楷体_GB2312"/>
          <w:bCs/>
          <w:color w:val="000000"/>
          <w:szCs w:val="32"/>
        </w:rPr>
        <w:t>第三节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主要特征</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_Toc2788 </w:instrText>
      </w:r>
      <w:r>
        <w:rPr>
          <w:rFonts w:ascii="Times New Roman" w:hAnsi="Times New Roman"/>
          <w:color w:val="000000"/>
        </w:rPr>
        <w:fldChar w:fldCharType="separate"/>
      </w:r>
      <w:r>
        <w:rPr>
          <w:rFonts w:ascii="Times New Roman" w:hAnsi="Times New Roman"/>
          <w:color w:val="000000"/>
        </w:rPr>
        <w:t>- 6 -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spacing w:line="320" w:lineRule="exact"/>
        <w:ind w:left="31680"/>
        <w:rPr>
          <w:rFonts w:ascii="Times New Roman" w:hAnsi="Times New Roman"/>
          <w:color w:val="000000"/>
        </w:rPr>
      </w:pPr>
      <w:r>
        <w:fldChar w:fldCharType="begin"/>
      </w:r>
      <w:r>
        <w:instrText xml:space="preserve"> HYPERLINK \l "_Toc1637" </w:instrText>
      </w:r>
      <w:r>
        <w:fldChar w:fldCharType="separate"/>
      </w:r>
      <w:r>
        <w:rPr>
          <w:rFonts w:hint="eastAsia" w:ascii="Times New Roman" w:hAnsi="Times New Roman" w:eastAsia="楷体_GB2312"/>
          <w:bCs/>
          <w:color w:val="000000"/>
          <w:szCs w:val="32"/>
        </w:rPr>
        <w:t>第四节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保护现状</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_Toc1637 </w:instrText>
      </w:r>
      <w:r>
        <w:rPr>
          <w:rFonts w:ascii="Times New Roman" w:hAnsi="Times New Roman"/>
          <w:color w:val="000000"/>
        </w:rPr>
        <w:fldChar w:fldCharType="separate"/>
      </w:r>
      <w:r>
        <w:rPr>
          <w:rFonts w:ascii="Times New Roman" w:hAnsi="Times New Roman"/>
          <w:color w:val="000000"/>
        </w:rPr>
        <w:t>- 7 -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spacing w:line="320" w:lineRule="exact"/>
        <w:ind w:left="31680"/>
        <w:rPr>
          <w:rFonts w:ascii="Times New Roman" w:hAnsi="Times New Roman"/>
          <w:color w:val="000000"/>
        </w:rPr>
      </w:pPr>
      <w:r>
        <w:fldChar w:fldCharType="begin"/>
      </w:r>
      <w:r>
        <w:instrText xml:space="preserve"> HYPERLINK \l "_Toc8069" </w:instrText>
      </w:r>
      <w:r>
        <w:fldChar w:fldCharType="separate"/>
      </w:r>
      <w:r>
        <w:rPr>
          <w:rFonts w:hint="eastAsia" w:ascii="Times New Roman" w:hAnsi="Times New Roman" w:eastAsia="楷体_GB2312"/>
          <w:bCs/>
          <w:color w:val="000000"/>
          <w:szCs w:val="32"/>
        </w:rPr>
        <w:t>第五节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主要问题</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_Toc8069 </w:instrText>
      </w:r>
      <w:r>
        <w:rPr>
          <w:rFonts w:ascii="Times New Roman" w:hAnsi="Times New Roman"/>
          <w:color w:val="000000"/>
        </w:rPr>
        <w:fldChar w:fldCharType="separate"/>
      </w:r>
      <w:r>
        <w:rPr>
          <w:rFonts w:ascii="Times New Roman" w:hAnsi="Times New Roman"/>
          <w:color w:val="000000"/>
        </w:rPr>
        <w:t>- 9 -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spacing w:line="320" w:lineRule="exact"/>
        <w:ind w:left="31680"/>
        <w:rPr>
          <w:rFonts w:ascii="Times New Roman" w:hAnsi="Times New Roman"/>
          <w:color w:val="000000"/>
        </w:rPr>
      </w:pPr>
      <w:r>
        <w:fldChar w:fldCharType="begin"/>
      </w:r>
      <w:r>
        <w:instrText xml:space="preserve"> HYPERLINK \l "_Toc30704" </w:instrText>
      </w:r>
      <w:r>
        <w:fldChar w:fldCharType="separate"/>
      </w:r>
      <w:r>
        <w:rPr>
          <w:rFonts w:hint="eastAsia" w:ascii="Times New Roman" w:hAnsi="Times New Roman" w:eastAsia="楷体_GB2312"/>
          <w:bCs/>
          <w:color w:val="000000"/>
          <w:szCs w:val="32"/>
        </w:rPr>
        <w:t>第六节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重要机遇</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_Toc30704 </w:instrText>
      </w:r>
      <w:r>
        <w:rPr>
          <w:rFonts w:ascii="Times New Roman" w:hAnsi="Times New Roman"/>
          <w:color w:val="000000"/>
        </w:rPr>
        <w:fldChar w:fldCharType="separate"/>
      </w:r>
      <w:r>
        <w:rPr>
          <w:rFonts w:ascii="Times New Roman" w:hAnsi="Times New Roman"/>
          <w:color w:val="000000"/>
        </w:rPr>
        <w:t>- 10 -</w:t>
      </w:r>
      <w:r>
        <w:rPr>
          <w:rFonts w:ascii="Times New Roman" w:hAnsi="Times New Roman"/>
          <w:color w:val="000000"/>
        </w:rPr>
        <w:fldChar w:fldCharType="end"/>
      </w:r>
      <w:r>
        <w:rPr>
          <w:rFonts w:ascii="Times New Roman" w:hAnsi="Times New Roman"/>
          <w:color w:val="000000"/>
        </w:rPr>
        <w:fldChar w:fldCharType="end"/>
      </w:r>
    </w:p>
    <w:p>
      <w:pPr>
        <w:pStyle w:val="5"/>
        <w:tabs>
          <w:tab w:val="right" w:leader="dot" w:pos="8844"/>
        </w:tabs>
        <w:spacing w:line="320" w:lineRule="exact"/>
        <w:rPr>
          <w:rFonts w:ascii="Times New Roman" w:hAnsi="Times New Roman"/>
          <w:color w:val="000000"/>
        </w:rPr>
      </w:pPr>
      <w:r>
        <w:fldChar w:fldCharType="begin"/>
      </w:r>
      <w:r>
        <w:instrText xml:space="preserve"> HYPERLINK \l "_Toc28479" </w:instrText>
      </w:r>
      <w:r>
        <w:fldChar w:fldCharType="separate"/>
      </w:r>
      <w:r>
        <w:rPr>
          <w:rFonts w:hint="eastAsia" w:ascii="Times New Roman" w:hAnsi="Times New Roman" w:eastAsia="方正小标宋简体"/>
          <w:color w:val="000000"/>
          <w:szCs w:val="40"/>
        </w:rPr>
        <w:t>第二章</w:t>
      </w:r>
      <w:r>
        <w:rPr>
          <w:rFonts w:ascii="Times New Roman" w:hAnsi="Times New Roman" w:eastAsia="方正小标宋简体"/>
          <w:color w:val="000000"/>
          <w:szCs w:val="40"/>
        </w:rPr>
        <w:t xml:space="preserve">  </w:t>
      </w:r>
      <w:r>
        <w:rPr>
          <w:rFonts w:hint="eastAsia" w:ascii="Times New Roman" w:hAnsi="Times New Roman" w:eastAsia="方正小标宋简体"/>
          <w:color w:val="000000"/>
          <w:szCs w:val="40"/>
        </w:rPr>
        <w:t>总体要求</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_Toc28479 </w:instrText>
      </w:r>
      <w:r>
        <w:rPr>
          <w:rFonts w:ascii="Times New Roman" w:hAnsi="Times New Roman"/>
          <w:color w:val="000000"/>
        </w:rPr>
        <w:fldChar w:fldCharType="separate"/>
      </w:r>
      <w:r>
        <w:rPr>
          <w:rFonts w:ascii="Times New Roman" w:hAnsi="Times New Roman"/>
          <w:color w:val="000000"/>
        </w:rPr>
        <w:t>- 13 -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spacing w:line="320" w:lineRule="exact"/>
        <w:ind w:left="31680"/>
        <w:rPr>
          <w:rFonts w:ascii="Times New Roman" w:hAnsi="Times New Roman"/>
          <w:color w:val="000000"/>
        </w:rPr>
      </w:pPr>
      <w:r>
        <w:fldChar w:fldCharType="begin"/>
      </w:r>
      <w:r>
        <w:instrText xml:space="preserve"> HYPERLINK \l "_Toc974" </w:instrText>
      </w:r>
      <w:r>
        <w:fldChar w:fldCharType="separate"/>
      </w:r>
      <w:r>
        <w:rPr>
          <w:rFonts w:hint="eastAsia" w:ascii="Times New Roman" w:hAnsi="Times New Roman" w:eastAsia="楷体_GB2312"/>
          <w:bCs/>
          <w:color w:val="000000"/>
          <w:szCs w:val="32"/>
        </w:rPr>
        <w:t>第一节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指导思想</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_Toc974 </w:instrText>
      </w:r>
      <w:r>
        <w:rPr>
          <w:rFonts w:ascii="Times New Roman" w:hAnsi="Times New Roman"/>
          <w:color w:val="000000"/>
        </w:rPr>
        <w:fldChar w:fldCharType="separate"/>
      </w:r>
      <w:r>
        <w:rPr>
          <w:rFonts w:ascii="Times New Roman" w:hAnsi="Times New Roman"/>
          <w:color w:val="000000"/>
        </w:rPr>
        <w:t>- 13 -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spacing w:line="320" w:lineRule="exact"/>
        <w:ind w:left="31680"/>
        <w:rPr>
          <w:rFonts w:ascii="Times New Roman" w:hAnsi="Times New Roman"/>
          <w:color w:val="000000"/>
        </w:rPr>
      </w:pPr>
      <w:r>
        <w:fldChar w:fldCharType="begin"/>
      </w:r>
      <w:r>
        <w:instrText xml:space="preserve"> HYPERLINK \l "_Toc8731" </w:instrText>
      </w:r>
      <w:r>
        <w:fldChar w:fldCharType="separate"/>
      </w:r>
      <w:r>
        <w:rPr>
          <w:rFonts w:hint="eastAsia" w:ascii="Times New Roman" w:hAnsi="Times New Roman" w:eastAsia="楷体_GB2312"/>
          <w:bCs/>
          <w:color w:val="000000"/>
          <w:szCs w:val="32"/>
        </w:rPr>
        <w:t>第二节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基本原则</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_Toc8731 </w:instrText>
      </w:r>
      <w:r>
        <w:rPr>
          <w:rFonts w:ascii="Times New Roman" w:hAnsi="Times New Roman"/>
          <w:color w:val="000000"/>
        </w:rPr>
        <w:fldChar w:fldCharType="separate"/>
      </w:r>
      <w:r>
        <w:rPr>
          <w:rFonts w:ascii="Times New Roman" w:hAnsi="Times New Roman"/>
          <w:color w:val="000000"/>
        </w:rPr>
        <w:t>- 13 -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spacing w:line="320" w:lineRule="exact"/>
        <w:ind w:left="31680"/>
        <w:rPr>
          <w:rFonts w:ascii="Times New Roman" w:hAnsi="Times New Roman"/>
          <w:color w:val="000000"/>
        </w:rPr>
      </w:pPr>
      <w:r>
        <w:fldChar w:fldCharType="begin"/>
      </w:r>
      <w:r>
        <w:instrText xml:space="preserve"> HYPERLINK \l "_Toc4337" </w:instrText>
      </w:r>
      <w:r>
        <w:fldChar w:fldCharType="separate"/>
      </w:r>
      <w:r>
        <w:rPr>
          <w:rFonts w:hint="eastAsia" w:ascii="Times New Roman" w:hAnsi="Times New Roman" w:eastAsia="楷体_GB2312"/>
          <w:bCs/>
          <w:color w:val="000000"/>
          <w:szCs w:val="32"/>
        </w:rPr>
        <w:t>第三节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编制依据</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_Toc4337 </w:instrText>
      </w:r>
      <w:r>
        <w:rPr>
          <w:rFonts w:ascii="Times New Roman" w:hAnsi="Times New Roman"/>
          <w:color w:val="000000"/>
        </w:rPr>
        <w:fldChar w:fldCharType="separate"/>
      </w:r>
      <w:r>
        <w:rPr>
          <w:rFonts w:ascii="Times New Roman" w:hAnsi="Times New Roman"/>
          <w:color w:val="000000"/>
        </w:rPr>
        <w:t>- 15 -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spacing w:line="320" w:lineRule="exact"/>
        <w:ind w:left="31680"/>
        <w:rPr>
          <w:rFonts w:ascii="Times New Roman" w:hAnsi="Times New Roman"/>
          <w:color w:val="000000"/>
        </w:rPr>
      </w:pPr>
      <w:r>
        <w:fldChar w:fldCharType="begin"/>
      </w:r>
      <w:r>
        <w:instrText xml:space="preserve"> HYPERLINK \l "_Toc3624" </w:instrText>
      </w:r>
      <w:r>
        <w:fldChar w:fldCharType="separate"/>
      </w:r>
      <w:r>
        <w:rPr>
          <w:rFonts w:hint="eastAsia" w:ascii="Times New Roman" w:hAnsi="Times New Roman" w:eastAsia="楷体_GB2312"/>
          <w:bCs/>
          <w:color w:val="000000"/>
          <w:szCs w:val="32"/>
        </w:rPr>
        <w:t>第四节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方案目标</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_Toc3624 </w:instrText>
      </w:r>
      <w:r>
        <w:rPr>
          <w:rFonts w:ascii="Times New Roman" w:hAnsi="Times New Roman"/>
          <w:color w:val="000000"/>
        </w:rPr>
        <w:fldChar w:fldCharType="separate"/>
      </w:r>
      <w:r>
        <w:rPr>
          <w:rFonts w:ascii="Times New Roman" w:hAnsi="Times New Roman"/>
          <w:color w:val="000000"/>
        </w:rPr>
        <w:t>- 16 -</w:t>
      </w:r>
      <w:r>
        <w:rPr>
          <w:rFonts w:ascii="Times New Roman" w:hAnsi="Times New Roman"/>
          <w:color w:val="000000"/>
        </w:rPr>
        <w:fldChar w:fldCharType="end"/>
      </w:r>
      <w:r>
        <w:rPr>
          <w:rFonts w:ascii="Times New Roman" w:hAnsi="Times New Roman"/>
          <w:color w:val="000000"/>
        </w:rPr>
        <w:fldChar w:fldCharType="end"/>
      </w:r>
    </w:p>
    <w:p>
      <w:pPr>
        <w:pStyle w:val="5"/>
        <w:tabs>
          <w:tab w:val="right" w:leader="dot" w:pos="8844"/>
        </w:tabs>
        <w:spacing w:line="320" w:lineRule="exact"/>
        <w:rPr>
          <w:rFonts w:ascii="Times New Roman" w:hAnsi="Times New Roman"/>
          <w:color w:val="000000"/>
        </w:rPr>
      </w:pPr>
      <w:r>
        <w:fldChar w:fldCharType="begin"/>
      </w:r>
      <w:r>
        <w:instrText xml:space="preserve"> HYPERLINK \l "_Toc1161" </w:instrText>
      </w:r>
      <w:r>
        <w:fldChar w:fldCharType="separate"/>
      </w:r>
      <w:r>
        <w:rPr>
          <w:rFonts w:hint="eastAsia" w:ascii="Times New Roman" w:hAnsi="Times New Roman" w:eastAsia="方正小标宋简体"/>
          <w:color w:val="000000"/>
          <w:szCs w:val="40"/>
        </w:rPr>
        <w:t>第三章</w:t>
      </w:r>
      <w:r>
        <w:rPr>
          <w:rFonts w:ascii="Times New Roman" w:hAnsi="Times New Roman" w:eastAsia="方正小标宋简体"/>
          <w:color w:val="000000"/>
          <w:szCs w:val="40"/>
        </w:rPr>
        <w:t xml:space="preserve">  </w:t>
      </w:r>
      <w:r>
        <w:rPr>
          <w:rFonts w:hint="eastAsia" w:ascii="Times New Roman" w:hAnsi="Times New Roman" w:eastAsia="方正小标宋简体"/>
          <w:color w:val="000000"/>
          <w:szCs w:val="40"/>
        </w:rPr>
        <w:t>方案分区</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_Toc1161 </w:instrText>
      </w:r>
      <w:r>
        <w:rPr>
          <w:rFonts w:ascii="Times New Roman" w:hAnsi="Times New Roman"/>
          <w:color w:val="000000"/>
        </w:rPr>
        <w:fldChar w:fldCharType="separate"/>
      </w:r>
      <w:r>
        <w:rPr>
          <w:rFonts w:ascii="Times New Roman" w:hAnsi="Times New Roman"/>
          <w:color w:val="000000"/>
        </w:rPr>
        <w:t>- 17 -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spacing w:line="320" w:lineRule="exact"/>
        <w:ind w:left="31680"/>
        <w:rPr>
          <w:rFonts w:ascii="Times New Roman" w:hAnsi="Times New Roman"/>
          <w:color w:val="000000"/>
        </w:rPr>
      </w:pPr>
      <w:r>
        <w:fldChar w:fldCharType="begin"/>
      </w:r>
      <w:r>
        <w:instrText xml:space="preserve"> HYPERLINK \l "_Toc13768" </w:instrText>
      </w:r>
      <w:r>
        <w:fldChar w:fldCharType="separate"/>
      </w:r>
      <w:r>
        <w:rPr>
          <w:rFonts w:hint="eastAsia" w:ascii="Times New Roman" w:hAnsi="Times New Roman" w:eastAsia="楷体_GB2312"/>
          <w:bCs/>
          <w:color w:val="000000"/>
          <w:szCs w:val="32"/>
        </w:rPr>
        <w:t>第一节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核心保护区</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_Toc13768 </w:instrText>
      </w:r>
      <w:r>
        <w:rPr>
          <w:rFonts w:ascii="Times New Roman" w:hAnsi="Times New Roman"/>
          <w:color w:val="000000"/>
        </w:rPr>
        <w:fldChar w:fldCharType="separate"/>
      </w:r>
      <w:r>
        <w:rPr>
          <w:rFonts w:ascii="Times New Roman" w:hAnsi="Times New Roman"/>
          <w:color w:val="000000"/>
        </w:rPr>
        <w:t>- 18 -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spacing w:line="320" w:lineRule="exact"/>
        <w:ind w:left="31680"/>
        <w:rPr>
          <w:rFonts w:ascii="Times New Roman" w:hAnsi="Times New Roman"/>
          <w:color w:val="000000"/>
        </w:rPr>
      </w:pPr>
      <w:r>
        <w:fldChar w:fldCharType="begin"/>
      </w:r>
      <w:r>
        <w:instrText xml:space="preserve"> HYPERLINK \l "_Toc2456" </w:instrText>
      </w:r>
      <w:r>
        <w:fldChar w:fldCharType="separate"/>
      </w:r>
      <w:r>
        <w:rPr>
          <w:rFonts w:hint="eastAsia" w:ascii="Times New Roman" w:hAnsi="Times New Roman" w:eastAsia="楷体_GB2312"/>
          <w:bCs/>
          <w:color w:val="000000"/>
          <w:szCs w:val="32"/>
        </w:rPr>
        <w:t>第二节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重点保护区</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_Toc2456 </w:instrText>
      </w:r>
      <w:r>
        <w:rPr>
          <w:rFonts w:ascii="Times New Roman" w:hAnsi="Times New Roman"/>
          <w:color w:val="000000"/>
        </w:rPr>
        <w:fldChar w:fldCharType="separate"/>
      </w:r>
      <w:r>
        <w:rPr>
          <w:rFonts w:ascii="Times New Roman" w:hAnsi="Times New Roman"/>
          <w:color w:val="000000"/>
        </w:rPr>
        <w:t>- 19 -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spacing w:line="320" w:lineRule="exact"/>
        <w:ind w:left="31680"/>
        <w:rPr>
          <w:rFonts w:ascii="Times New Roman" w:hAnsi="Times New Roman"/>
          <w:color w:val="000000"/>
        </w:rPr>
      </w:pPr>
      <w:r>
        <w:fldChar w:fldCharType="begin"/>
      </w:r>
      <w:r>
        <w:instrText xml:space="preserve"> HYPERLINK \l "_Toc10613" </w:instrText>
      </w:r>
      <w:r>
        <w:fldChar w:fldCharType="separate"/>
      </w:r>
      <w:r>
        <w:rPr>
          <w:rFonts w:hint="eastAsia" w:ascii="Times New Roman" w:hAnsi="Times New Roman" w:eastAsia="楷体_GB2312"/>
          <w:bCs/>
          <w:color w:val="000000"/>
          <w:szCs w:val="32"/>
        </w:rPr>
        <w:t>第三节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一般保护区</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_Toc10613 </w:instrText>
      </w:r>
      <w:r>
        <w:rPr>
          <w:rFonts w:ascii="Times New Roman" w:hAnsi="Times New Roman"/>
          <w:color w:val="000000"/>
        </w:rPr>
        <w:fldChar w:fldCharType="separate"/>
      </w:r>
      <w:r>
        <w:rPr>
          <w:rFonts w:ascii="Times New Roman" w:hAnsi="Times New Roman"/>
          <w:color w:val="000000"/>
        </w:rPr>
        <w:t>- 20 -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spacing w:line="320" w:lineRule="exact"/>
        <w:ind w:left="31680"/>
        <w:rPr>
          <w:rFonts w:ascii="Times New Roman" w:hAnsi="Times New Roman"/>
          <w:color w:val="000000"/>
        </w:rPr>
      </w:pPr>
      <w:r>
        <w:fldChar w:fldCharType="begin"/>
      </w:r>
      <w:r>
        <w:instrText xml:space="preserve"> HYPERLINK \l "_Toc16935" </w:instrText>
      </w:r>
      <w:r>
        <w:fldChar w:fldCharType="separate"/>
      </w:r>
      <w:r>
        <w:rPr>
          <w:rFonts w:hint="eastAsia" w:ascii="Times New Roman" w:hAnsi="Times New Roman" w:eastAsia="楷体_GB2312"/>
          <w:bCs/>
          <w:color w:val="000000"/>
          <w:szCs w:val="32"/>
        </w:rPr>
        <w:t>第四节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勘界立标</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_Toc16935 </w:instrText>
      </w:r>
      <w:r>
        <w:rPr>
          <w:rFonts w:ascii="Times New Roman" w:hAnsi="Times New Roman"/>
          <w:color w:val="000000"/>
        </w:rPr>
        <w:fldChar w:fldCharType="separate"/>
      </w:r>
      <w:r>
        <w:rPr>
          <w:rFonts w:ascii="Times New Roman" w:hAnsi="Times New Roman"/>
          <w:color w:val="000000"/>
        </w:rPr>
        <w:t>- 21 -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spacing w:line="320" w:lineRule="exact"/>
        <w:ind w:left="31680"/>
        <w:rPr>
          <w:rFonts w:ascii="Times New Roman" w:hAnsi="Times New Roman"/>
          <w:color w:val="000000"/>
        </w:rPr>
      </w:pPr>
      <w:r>
        <w:fldChar w:fldCharType="begin"/>
      </w:r>
      <w:r>
        <w:instrText xml:space="preserve"> HYPERLINK \l "_Toc28834" </w:instrText>
      </w:r>
      <w:r>
        <w:fldChar w:fldCharType="separate"/>
      </w:r>
      <w:r>
        <w:rPr>
          <w:rFonts w:hint="eastAsia" w:ascii="Times New Roman" w:hAnsi="Times New Roman" w:eastAsia="楷体_GB2312"/>
          <w:bCs/>
          <w:color w:val="000000"/>
          <w:szCs w:val="32"/>
        </w:rPr>
        <w:t>第五节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国土空间管控</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_Toc28834 </w:instrText>
      </w:r>
      <w:r>
        <w:rPr>
          <w:rFonts w:ascii="Times New Roman" w:hAnsi="Times New Roman"/>
          <w:color w:val="000000"/>
        </w:rPr>
        <w:fldChar w:fldCharType="separate"/>
      </w:r>
      <w:r>
        <w:rPr>
          <w:rFonts w:ascii="Times New Roman" w:hAnsi="Times New Roman"/>
          <w:color w:val="000000"/>
        </w:rPr>
        <w:t>- 22 -</w:t>
      </w:r>
      <w:r>
        <w:rPr>
          <w:rFonts w:ascii="Times New Roman" w:hAnsi="Times New Roman"/>
          <w:color w:val="000000"/>
        </w:rPr>
        <w:fldChar w:fldCharType="end"/>
      </w:r>
      <w:r>
        <w:rPr>
          <w:rFonts w:ascii="Times New Roman" w:hAnsi="Times New Roman"/>
          <w:color w:val="000000"/>
        </w:rPr>
        <w:fldChar w:fldCharType="end"/>
      </w:r>
    </w:p>
    <w:p>
      <w:pPr>
        <w:pStyle w:val="5"/>
        <w:tabs>
          <w:tab w:val="right" w:leader="dot" w:pos="8844"/>
        </w:tabs>
        <w:spacing w:line="320" w:lineRule="exact"/>
        <w:rPr>
          <w:rFonts w:ascii="Times New Roman" w:hAnsi="Times New Roman"/>
          <w:color w:val="000000"/>
        </w:rPr>
      </w:pPr>
      <w:r>
        <w:fldChar w:fldCharType="begin"/>
      </w:r>
      <w:r>
        <w:instrText xml:space="preserve"> HYPERLINK \l "_Toc5928" </w:instrText>
      </w:r>
      <w:r>
        <w:fldChar w:fldCharType="separate"/>
      </w:r>
      <w:r>
        <w:rPr>
          <w:rFonts w:hint="eastAsia" w:ascii="Times New Roman" w:hAnsi="Times New Roman" w:eastAsia="方正小标宋简体"/>
          <w:color w:val="000000"/>
          <w:szCs w:val="40"/>
        </w:rPr>
        <w:t>第四章</w:t>
      </w:r>
      <w:r>
        <w:rPr>
          <w:rFonts w:ascii="Times New Roman" w:hAnsi="Times New Roman" w:eastAsia="方正小标宋简体"/>
          <w:color w:val="000000"/>
          <w:szCs w:val="40"/>
        </w:rPr>
        <w:t xml:space="preserve">  </w:t>
      </w:r>
      <w:r>
        <w:rPr>
          <w:rFonts w:hint="eastAsia" w:ascii="Times New Roman" w:hAnsi="Times New Roman" w:eastAsia="方正小标宋简体"/>
          <w:color w:val="000000"/>
          <w:szCs w:val="40"/>
        </w:rPr>
        <w:t>突出植被保护</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_Toc5928 </w:instrText>
      </w:r>
      <w:r>
        <w:rPr>
          <w:rFonts w:ascii="Times New Roman" w:hAnsi="Times New Roman"/>
          <w:color w:val="000000"/>
        </w:rPr>
        <w:fldChar w:fldCharType="separate"/>
      </w:r>
      <w:r>
        <w:rPr>
          <w:rFonts w:ascii="Times New Roman" w:hAnsi="Times New Roman"/>
          <w:color w:val="000000"/>
        </w:rPr>
        <w:t>- 23 -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spacing w:line="320" w:lineRule="exact"/>
        <w:ind w:left="31680"/>
        <w:rPr>
          <w:rFonts w:ascii="Times New Roman" w:hAnsi="Times New Roman"/>
          <w:color w:val="000000"/>
        </w:rPr>
      </w:pPr>
      <w:r>
        <w:fldChar w:fldCharType="begin"/>
      </w:r>
      <w:r>
        <w:instrText xml:space="preserve"> HYPERLINK \l "_Toc31394" </w:instrText>
      </w:r>
      <w:r>
        <w:fldChar w:fldCharType="separate"/>
      </w:r>
      <w:r>
        <w:rPr>
          <w:rFonts w:hint="eastAsia" w:ascii="Times New Roman" w:hAnsi="Times New Roman" w:eastAsia="楷体_GB2312"/>
          <w:bCs/>
          <w:color w:val="000000"/>
          <w:szCs w:val="32"/>
        </w:rPr>
        <w:t>第一节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封山育林与禁牧</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_Toc31394 </w:instrText>
      </w:r>
      <w:r>
        <w:rPr>
          <w:rFonts w:ascii="Times New Roman" w:hAnsi="Times New Roman"/>
          <w:color w:val="000000"/>
        </w:rPr>
        <w:fldChar w:fldCharType="separate"/>
      </w:r>
      <w:r>
        <w:rPr>
          <w:rFonts w:ascii="Times New Roman" w:hAnsi="Times New Roman"/>
          <w:color w:val="000000"/>
        </w:rPr>
        <w:t>- 23 -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spacing w:line="320" w:lineRule="exact"/>
        <w:ind w:left="31680"/>
        <w:rPr>
          <w:rFonts w:ascii="Times New Roman" w:hAnsi="Times New Roman"/>
          <w:color w:val="000000"/>
        </w:rPr>
      </w:pPr>
      <w:r>
        <w:fldChar w:fldCharType="begin"/>
      </w:r>
      <w:r>
        <w:instrText xml:space="preserve"> HYPERLINK \l "_Toc17472" </w:instrText>
      </w:r>
      <w:r>
        <w:fldChar w:fldCharType="separate"/>
      </w:r>
      <w:r>
        <w:rPr>
          <w:rFonts w:hint="eastAsia" w:ascii="Times New Roman" w:hAnsi="Times New Roman" w:eastAsia="楷体_GB2312"/>
          <w:bCs/>
          <w:color w:val="000000"/>
          <w:szCs w:val="32"/>
        </w:rPr>
        <w:t>第二节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营林造林</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_Toc17472 </w:instrText>
      </w:r>
      <w:r>
        <w:rPr>
          <w:rFonts w:ascii="Times New Roman" w:hAnsi="Times New Roman"/>
          <w:color w:val="000000"/>
        </w:rPr>
        <w:fldChar w:fldCharType="separate"/>
      </w:r>
      <w:r>
        <w:rPr>
          <w:rFonts w:ascii="Times New Roman" w:hAnsi="Times New Roman"/>
          <w:color w:val="000000"/>
        </w:rPr>
        <w:t>- 24 -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spacing w:line="320" w:lineRule="exact"/>
        <w:ind w:left="31680"/>
        <w:rPr>
          <w:rFonts w:ascii="Times New Roman" w:hAnsi="Times New Roman"/>
          <w:color w:val="000000"/>
        </w:rPr>
      </w:pPr>
      <w:r>
        <w:fldChar w:fldCharType="begin"/>
      </w:r>
      <w:r>
        <w:instrText xml:space="preserve"> HYPERLINK \l "_Toc24502" </w:instrText>
      </w:r>
      <w:r>
        <w:fldChar w:fldCharType="separate"/>
      </w:r>
      <w:r>
        <w:rPr>
          <w:rFonts w:hint="eastAsia" w:ascii="Times New Roman" w:hAnsi="Times New Roman" w:eastAsia="楷体_GB2312"/>
          <w:bCs/>
          <w:color w:val="000000"/>
          <w:szCs w:val="32"/>
        </w:rPr>
        <w:t>第三节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天然林保护</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_Toc24502 </w:instrText>
      </w:r>
      <w:r>
        <w:rPr>
          <w:rFonts w:ascii="Times New Roman" w:hAnsi="Times New Roman"/>
          <w:color w:val="000000"/>
        </w:rPr>
        <w:fldChar w:fldCharType="separate"/>
      </w:r>
      <w:r>
        <w:rPr>
          <w:rFonts w:ascii="Times New Roman" w:hAnsi="Times New Roman"/>
          <w:color w:val="000000"/>
        </w:rPr>
        <w:t>- 25 -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spacing w:line="320" w:lineRule="exact"/>
        <w:ind w:left="31680"/>
        <w:rPr>
          <w:rFonts w:ascii="Times New Roman" w:hAnsi="Times New Roman"/>
          <w:color w:val="000000"/>
        </w:rPr>
      </w:pPr>
      <w:r>
        <w:fldChar w:fldCharType="begin"/>
      </w:r>
      <w:r>
        <w:instrText xml:space="preserve"> HYPERLINK \l "_Toc26384" </w:instrText>
      </w:r>
      <w:r>
        <w:fldChar w:fldCharType="separate"/>
      </w:r>
      <w:r>
        <w:rPr>
          <w:rFonts w:hint="eastAsia" w:ascii="Times New Roman" w:hAnsi="Times New Roman" w:eastAsia="楷体_GB2312"/>
          <w:bCs/>
          <w:color w:val="000000"/>
          <w:szCs w:val="32"/>
        </w:rPr>
        <w:t>第四节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退耕还林还草</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_Toc26384 </w:instrText>
      </w:r>
      <w:r>
        <w:rPr>
          <w:rFonts w:ascii="Times New Roman" w:hAnsi="Times New Roman"/>
          <w:color w:val="000000"/>
        </w:rPr>
        <w:fldChar w:fldCharType="separate"/>
      </w:r>
      <w:r>
        <w:rPr>
          <w:rFonts w:ascii="Times New Roman" w:hAnsi="Times New Roman"/>
          <w:color w:val="000000"/>
        </w:rPr>
        <w:t>- 26 -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spacing w:line="320" w:lineRule="exact"/>
        <w:ind w:left="31680"/>
        <w:rPr>
          <w:rFonts w:ascii="Times New Roman" w:hAnsi="Times New Roman"/>
          <w:color w:val="000000"/>
        </w:rPr>
      </w:pPr>
      <w:r>
        <w:fldChar w:fldCharType="begin"/>
      </w:r>
      <w:r>
        <w:instrText xml:space="preserve"> HYPERLINK \l "_Toc15291" </w:instrText>
      </w:r>
      <w:r>
        <w:fldChar w:fldCharType="separate"/>
      </w:r>
      <w:r>
        <w:rPr>
          <w:rFonts w:hint="eastAsia" w:ascii="Times New Roman" w:hAnsi="Times New Roman" w:eastAsia="楷体_GB2312"/>
          <w:bCs/>
          <w:color w:val="000000"/>
          <w:szCs w:val="32"/>
        </w:rPr>
        <w:t>第五节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森林防灭火</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_Toc15291 </w:instrText>
      </w:r>
      <w:r>
        <w:rPr>
          <w:rFonts w:ascii="Times New Roman" w:hAnsi="Times New Roman"/>
          <w:color w:val="000000"/>
        </w:rPr>
        <w:fldChar w:fldCharType="separate"/>
      </w:r>
      <w:r>
        <w:rPr>
          <w:rFonts w:ascii="Times New Roman" w:hAnsi="Times New Roman"/>
          <w:color w:val="000000"/>
        </w:rPr>
        <w:t>- 27 -</w:t>
      </w:r>
      <w:r>
        <w:rPr>
          <w:rFonts w:ascii="Times New Roman" w:hAnsi="Times New Roman"/>
          <w:color w:val="000000"/>
        </w:rPr>
        <w:fldChar w:fldCharType="end"/>
      </w:r>
      <w:r>
        <w:rPr>
          <w:rFonts w:ascii="Times New Roman" w:hAnsi="Times New Roman"/>
          <w:color w:val="000000"/>
        </w:rPr>
        <w:fldChar w:fldCharType="end"/>
      </w:r>
    </w:p>
    <w:p>
      <w:pPr>
        <w:pStyle w:val="5"/>
        <w:tabs>
          <w:tab w:val="right" w:leader="dot" w:pos="8844"/>
        </w:tabs>
        <w:spacing w:line="320" w:lineRule="exact"/>
        <w:rPr>
          <w:rFonts w:ascii="Times New Roman" w:hAnsi="Times New Roman"/>
          <w:color w:val="000000"/>
        </w:rPr>
      </w:pPr>
      <w:r>
        <w:fldChar w:fldCharType="begin"/>
      </w:r>
      <w:r>
        <w:instrText xml:space="preserve"> HYPERLINK \l "_Toc21954" </w:instrText>
      </w:r>
      <w:r>
        <w:fldChar w:fldCharType="separate"/>
      </w:r>
      <w:r>
        <w:rPr>
          <w:rFonts w:hint="eastAsia" w:ascii="Times New Roman" w:hAnsi="Times New Roman" w:eastAsia="方正小标宋简体"/>
          <w:color w:val="000000"/>
          <w:szCs w:val="40"/>
        </w:rPr>
        <w:t>第五章</w:t>
      </w:r>
      <w:r>
        <w:rPr>
          <w:rFonts w:ascii="Times New Roman" w:hAnsi="Times New Roman" w:eastAsia="方正小标宋简体"/>
          <w:color w:val="000000"/>
          <w:szCs w:val="40"/>
        </w:rPr>
        <w:t xml:space="preserve">  </w:t>
      </w:r>
      <w:r>
        <w:rPr>
          <w:rFonts w:hint="eastAsia" w:ascii="Times New Roman" w:hAnsi="Times New Roman" w:eastAsia="方正小标宋简体"/>
          <w:color w:val="000000"/>
          <w:szCs w:val="40"/>
        </w:rPr>
        <w:t>强化水资源保护</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_Toc21954 </w:instrText>
      </w:r>
      <w:r>
        <w:rPr>
          <w:rFonts w:ascii="Times New Roman" w:hAnsi="Times New Roman"/>
          <w:color w:val="000000"/>
        </w:rPr>
        <w:fldChar w:fldCharType="separate"/>
      </w:r>
      <w:r>
        <w:rPr>
          <w:rFonts w:ascii="Times New Roman" w:hAnsi="Times New Roman"/>
          <w:color w:val="000000"/>
        </w:rPr>
        <w:t>- 28 -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spacing w:line="320" w:lineRule="exact"/>
        <w:ind w:left="31680"/>
        <w:rPr>
          <w:rFonts w:ascii="Times New Roman" w:hAnsi="Times New Roman"/>
          <w:color w:val="000000"/>
        </w:rPr>
      </w:pPr>
      <w:r>
        <w:fldChar w:fldCharType="begin"/>
      </w:r>
      <w:r>
        <w:instrText xml:space="preserve"> HYPERLINK \l "_Toc30472" </w:instrText>
      </w:r>
      <w:r>
        <w:fldChar w:fldCharType="separate"/>
      </w:r>
      <w:r>
        <w:rPr>
          <w:rFonts w:hint="eastAsia" w:ascii="Times New Roman" w:hAnsi="Times New Roman" w:eastAsia="楷体_GB2312"/>
          <w:bCs/>
          <w:color w:val="000000"/>
          <w:szCs w:val="32"/>
        </w:rPr>
        <w:t>第一节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水功能区划</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_Toc30472 </w:instrText>
      </w:r>
      <w:r>
        <w:rPr>
          <w:rFonts w:ascii="Times New Roman" w:hAnsi="Times New Roman"/>
          <w:color w:val="000000"/>
        </w:rPr>
        <w:fldChar w:fldCharType="separate"/>
      </w:r>
      <w:r>
        <w:rPr>
          <w:rFonts w:ascii="Times New Roman" w:hAnsi="Times New Roman"/>
          <w:color w:val="000000"/>
        </w:rPr>
        <w:t>- 28 -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spacing w:line="320" w:lineRule="exact"/>
        <w:ind w:left="31680"/>
        <w:rPr>
          <w:rFonts w:ascii="Times New Roman" w:hAnsi="Times New Roman"/>
          <w:color w:val="000000"/>
        </w:rPr>
      </w:pPr>
      <w:r>
        <w:fldChar w:fldCharType="begin"/>
      </w:r>
      <w:r>
        <w:instrText xml:space="preserve"> HYPERLINK \l "_Toc24278" </w:instrText>
      </w:r>
      <w:r>
        <w:fldChar w:fldCharType="separate"/>
      </w:r>
      <w:r>
        <w:rPr>
          <w:rFonts w:hint="eastAsia" w:ascii="Times New Roman" w:hAnsi="Times New Roman" w:eastAsia="楷体_GB2312"/>
          <w:bCs/>
          <w:color w:val="000000"/>
          <w:szCs w:val="32"/>
        </w:rPr>
        <w:t>第二节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水源保护</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_Toc24278 </w:instrText>
      </w:r>
      <w:r>
        <w:rPr>
          <w:rFonts w:ascii="Times New Roman" w:hAnsi="Times New Roman"/>
          <w:color w:val="000000"/>
        </w:rPr>
        <w:fldChar w:fldCharType="separate"/>
      </w:r>
      <w:r>
        <w:rPr>
          <w:rFonts w:ascii="Times New Roman" w:hAnsi="Times New Roman"/>
          <w:color w:val="000000"/>
        </w:rPr>
        <w:t>- 29 -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spacing w:line="320" w:lineRule="exact"/>
        <w:ind w:left="31680"/>
        <w:rPr>
          <w:rFonts w:ascii="Times New Roman" w:hAnsi="Times New Roman"/>
          <w:color w:val="000000"/>
        </w:rPr>
      </w:pPr>
      <w:r>
        <w:fldChar w:fldCharType="begin"/>
      </w:r>
      <w:r>
        <w:instrText xml:space="preserve"> HYPERLINK \l "_Toc14204" </w:instrText>
      </w:r>
      <w:r>
        <w:fldChar w:fldCharType="separate"/>
      </w:r>
      <w:r>
        <w:rPr>
          <w:rFonts w:hint="eastAsia" w:ascii="Times New Roman" w:hAnsi="Times New Roman" w:eastAsia="楷体_GB2312"/>
          <w:bCs/>
          <w:color w:val="000000"/>
          <w:szCs w:val="32"/>
        </w:rPr>
        <w:t>第三节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水土保持</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_Toc14204 </w:instrText>
      </w:r>
      <w:r>
        <w:rPr>
          <w:rFonts w:ascii="Times New Roman" w:hAnsi="Times New Roman"/>
          <w:color w:val="000000"/>
        </w:rPr>
        <w:fldChar w:fldCharType="separate"/>
      </w:r>
      <w:r>
        <w:rPr>
          <w:rFonts w:ascii="Times New Roman" w:hAnsi="Times New Roman"/>
          <w:color w:val="000000"/>
        </w:rPr>
        <w:t>- 31 -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spacing w:line="320" w:lineRule="exact"/>
        <w:ind w:left="31680"/>
        <w:rPr>
          <w:rFonts w:ascii="Times New Roman" w:hAnsi="Times New Roman"/>
          <w:color w:val="000000"/>
        </w:rPr>
      </w:pPr>
      <w:r>
        <w:fldChar w:fldCharType="begin"/>
      </w:r>
      <w:r>
        <w:instrText xml:space="preserve"> HYPERLINK \l "_Toc25736" </w:instrText>
      </w:r>
      <w:r>
        <w:fldChar w:fldCharType="separate"/>
      </w:r>
      <w:r>
        <w:rPr>
          <w:rFonts w:hint="eastAsia" w:ascii="Times New Roman" w:hAnsi="Times New Roman" w:eastAsia="楷体_GB2312"/>
          <w:bCs/>
          <w:color w:val="000000"/>
          <w:szCs w:val="32"/>
        </w:rPr>
        <w:t>第四节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流域治理</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_Toc25736 </w:instrText>
      </w:r>
      <w:r>
        <w:rPr>
          <w:rFonts w:ascii="Times New Roman" w:hAnsi="Times New Roman"/>
          <w:color w:val="000000"/>
        </w:rPr>
        <w:fldChar w:fldCharType="separate"/>
      </w:r>
      <w:r>
        <w:rPr>
          <w:rFonts w:ascii="Times New Roman" w:hAnsi="Times New Roman"/>
          <w:color w:val="000000"/>
        </w:rPr>
        <w:t>- 32 -</w:t>
      </w:r>
      <w:r>
        <w:rPr>
          <w:rFonts w:ascii="Times New Roman" w:hAnsi="Times New Roman"/>
          <w:color w:val="000000"/>
        </w:rPr>
        <w:fldChar w:fldCharType="end"/>
      </w:r>
      <w:r>
        <w:rPr>
          <w:rFonts w:ascii="Times New Roman" w:hAnsi="Times New Roman"/>
          <w:color w:val="000000"/>
        </w:rPr>
        <w:fldChar w:fldCharType="end"/>
      </w:r>
    </w:p>
    <w:p>
      <w:pPr>
        <w:pStyle w:val="5"/>
        <w:tabs>
          <w:tab w:val="right" w:leader="dot" w:pos="8844"/>
        </w:tabs>
        <w:spacing w:line="320" w:lineRule="exact"/>
        <w:rPr>
          <w:rFonts w:ascii="Times New Roman" w:hAnsi="Times New Roman"/>
          <w:color w:val="000000"/>
        </w:rPr>
      </w:pPr>
      <w:r>
        <w:fldChar w:fldCharType="begin"/>
      </w:r>
      <w:r>
        <w:instrText xml:space="preserve"> HYPERLINK \l "_Toc17109" </w:instrText>
      </w:r>
      <w:r>
        <w:fldChar w:fldCharType="separate"/>
      </w:r>
      <w:r>
        <w:rPr>
          <w:rFonts w:hint="eastAsia" w:ascii="Times New Roman" w:hAnsi="Times New Roman" w:eastAsia="方正小标宋简体"/>
          <w:color w:val="000000"/>
          <w:szCs w:val="40"/>
        </w:rPr>
        <w:t>第六章</w:t>
      </w:r>
      <w:r>
        <w:rPr>
          <w:rFonts w:ascii="Times New Roman" w:hAnsi="Times New Roman" w:eastAsia="方正小标宋简体"/>
          <w:color w:val="000000"/>
          <w:szCs w:val="40"/>
        </w:rPr>
        <w:t xml:space="preserve">  </w:t>
      </w:r>
      <w:r>
        <w:rPr>
          <w:rFonts w:hint="eastAsia" w:ascii="Times New Roman" w:hAnsi="Times New Roman" w:eastAsia="方正小标宋简体"/>
          <w:color w:val="000000"/>
          <w:szCs w:val="40"/>
        </w:rPr>
        <w:t>加强生物多样性保护</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_Toc17109 </w:instrText>
      </w:r>
      <w:r>
        <w:rPr>
          <w:rFonts w:ascii="Times New Roman" w:hAnsi="Times New Roman"/>
          <w:color w:val="000000"/>
        </w:rPr>
        <w:fldChar w:fldCharType="separate"/>
      </w:r>
      <w:r>
        <w:rPr>
          <w:rFonts w:ascii="Times New Roman" w:hAnsi="Times New Roman"/>
          <w:color w:val="000000"/>
        </w:rPr>
        <w:t>- 34 -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spacing w:line="320" w:lineRule="exact"/>
        <w:ind w:left="31680"/>
        <w:rPr>
          <w:rFonts w:ascii="Times New Roman" w:hAnsi="Times New Roman"/>
          <w:color w:val="000000"/>
        </w:rPr>
      </w:pPr>
      <w:r>
        <w:fldChar w:fldCharType="begin"/>
      </w:r>
      <w:r>
        <w:instrText xml:space="preserve"> HYPERLINK \l "_Toc6222" </w:instrText>
      </w:r>
      <w:r>
        <w:fldChar w:fldCharType="separate"/>
      </w:r>
      <w:r>
        <w:rPr>
          <w:rFonts w:hint="eastAsia" w:ascii="Times New Roman" w:hAnsi="Times New Roman" w:eastAsia="楷体_GB2312"/>
          <w:bCs/>
          <w:color w:val="000000"/>
          <w:szCs w:val="32"/>
        </w:rPr>
        <w:t>第一节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野生动植物保护</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_Toc6222 </w:instrText>
      </w:r>
      <w:r>
        <w:rPr>
          <w:rFonts w:ascii="Times New Roman" w:hAnsi="Times New Roman"/>
          <w:color w:val="000000"/>
        </w:rPr>
        <w:fldChar w:fldCharType="separate"/>
      </w:r>
      <w:r>
        <w:rPr>
          <w:rFonts w:ascii="Times New Roman" w:hAnsi="Times New Roman"/>
          <w:color w:val="000000"/>
        </w:rPr>
        <w:t>- 34 -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spacing w:line="320" w:lineRule="exact"/>
        <w:ind w:left="31680"/>
        <w:rPr>
          <w:rFonts w:ascii="Times New Roman" w:hAnsi="Times New Roman"/>
          <w:color w:val="000000"/>
        </w:rPr>
      </w:pPr>
      <w:r>
        <w:fldChar w:fldCharType="begin"/>
      </w:r>
      <w:r>
        <w:instrText xml:space="preserve"> HYPERLINK \l "_Toc9400" </w:instrText>
      </w:r>
      <w:r>
        <w:fldChar w:fldCharType="separate"/>
      </w:r>
      <w:r>
        <w:rPr>
          <w:rFonts w:hint="eastAsia" w:ascii="Times New Roman" w:hAnsi="Times New Roman" w:eastAsia="楷体_GB2312"/>
          <w:bCs/>
          <w:color w:val="000000"/>
          <w:szCs w:val="32"/>
        </w:rPr>
        <w:t>第二节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重点生态系统保护</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_Toc9400 </w:instrText>
      </w:r>
      <w:r>
        <w:rPr>
          <w:rFonts w:ascii="Times New Roman" w:hAnsi="Times New Roman"/>
          <w:color w:val="000000"/>
        </w:rPr>
        <w:fldChar w:fldCharType="separate"/>
      </w:r>
      <w:r>
        <w:rPr>
          <w:rFonts w:ascii="Times New Roman" w:hAnsi="Times New Roman"/>
          <w:color w:val="000000"/>
        </w:rPr>
        <w:t>- 35 -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spacing w:line="320" w:lineRule="exact"/>
        <w:ind w:left="31680"/>
        <w:rPr>
          <w:rFonts w:ascii="Times New Roman" w:hAnsi="Times New Roman"/>
          <w:color w:val="000000"/>
        </w:rPr>
      </w:pPr>
      <w:r>
        <w:fldChar w:fldCharType="begin"/>
      </w:r>
      <w:r>
        <w:instrText xml:space="preserve"> HYPERLINK \l "_Toc32559" </w:instrText>
      </w:r>
      <w:r>
        <w:fldChar w:fldCharType="separate"/>
      </w:r>
      <w:r>
        <w:rPr>
          <w:rFonts w:hint="eastAsia" w:ascii="Times New Roman" w:hAnsi="Times New Roman" w:eastAsia="楷体_GB2312"/>
          <w:bCs/>
          <w:color w:val="000000"/>
          <w:szCs w:val="32"/>
        </w:rPr>
        <w:t>第三节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湿地保护</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_Toc32559 </w:instrText>
      </w:r>
      <w:r>
        <w:rPr>
          <w:rFonts w:ascii="Times New Roman" w:hAnsi="Times New Roman"/>
          <w:color w:val="000000"/>
        </w:rPr>
        <w:fldChar w:fldCharType="separate"/>
      </w:r>
      <w:r>
        <w:rPr>
          <w:rFonts w:ascii="Times New Roman" w:hAnsi="Times New Roman"/>
          <w:color w:val="000000"/>
        </w:rPr>
        <w:t>- 37 -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spacing w:line="320" w:lineRule="exact"/>
        <w:ind w:left="31680"/>
        <w:rPr>
          <w:rFonts w:ascii="Times New Roman" w:hAnsi="Times New Roman"/>
          <w:color w:val="000000"/>
        </w:rPr>
      </w:pPr>
      <w:r>
        <w:fldChar w:fldCharType="begin"/>
      </w:r>
      <w:r>
        <w:instrText xml:space="preserve"> HYPERLINK \l "_Toc15899" </w:instrText>
      </w:r>
      <w:r>
        <w:fldChar w:fldCharType="separate"/>
      </w:r>
      <w:r>
        <w:rPr>
          <w:rFonts w:hint="eastAsia" w:ascii="Times New Roman" w:hAnsi="Times New Roman" w:eastAsia="楷体_GB2312"/>
          <w:bCs/>
          <w:color w:val="000000"/>
          <w:szCs w:val="32"/>
        </w:rPr>
        <w:t>第四节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林业有害生物防治</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_Toc15899 </w:instrText>
      </w:r>
      <w:r>
        <w:rPr>
          <w:rFonts w:ascii="Times New Roman" w:hAnsi="Times New Roman"/>
          <w:color w:val="000000"/>
        </w:rPr>
        <w:fldChar w:fldCharType="separate"/>
      </w:r>
      <w:r>
        <w:rPr>
          <w:rFonts w:ascii="Times New Roman" w:hAnsi="Times New Roman"/>
          <w:color w:val="000000"/>
        </w:rPr>
        <w:t>- 38 -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spacing w:line="320" w:lineRule="exact"/>
        <w:ind w:left="31680"/>
        <w:rPr>
          <w:rFonts w:ascii="Times New Roman" w:hAnsi="Times New Roman"/>
          <w:color w:val="000000"/>
        </w:rPr>
        <w:sectPr>
          <w:headerReference r:id="rId3" w:type="default"/>
          <w:footerReference r:id="rId4" w:type="default"/>
          <w:pgSz w:w="11906" w:h="16838"/>
          <w:pgMar w:top="1984" w:right="1531" w:bottom="1587" w:left="1531" w:header="851" w:footer="1247" w:gutter="0"/>
          <w:pgNumType w:fmt="numberInDash" w:start="1"/>
          <w:cols w:space="425" w:num="1"/>
          <w:docGrid w:type="lines" w:linePitch="315" w:charSpace="0"/>
        </w:sectPr>
      </w:pPr>
      <w:r>
        <w:fldChar w:fldCharType="begin"/>
      </w:r>
      <w:r>
        <w:instrText xml:space="preserve"> HYPERLINK \l "_Toc28175" </w:instrText>
      </w:r>
      <w:r>
        <w:fldChar w:fldCharType="separate"/>
      </w:r>
      <w:r>
        <w:rPr>
          <w:rFonts w:hint="eastAsia" w:ascii="Times New Roman" w:hAnsi="Times New Roman" w:eastAsia="楷体_GB2312"/>
          <w:bCs/>
          <w:color w:val="000000"/>
          <w:szCs w:val="32"/>
        </w:rPr>
        <w:t>第五节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自然保护地体系建设</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_Toc28175 </w:instrText>
      </w:r>
      <w:r>
        <w:rPr>
          <w:rFonts w:ascii="Times New Roman" w:hAnsi="Times New Roman"/>
          <w:color w:val="000000"/>
        </w:rPr>
        <w:fldChar w:fldCharType="separate"/>
      </w:r>
      <w:r>
        <w:rPr>
          <w:rFonts w:ascii="Times New Roman" w:hAnsi="Times New Roman"/>
          <w:color w:val="000000"/>
        </w:rPr>
        <w:t>- 39 -</w:t>
      </w:r>
      <w:r>
        <w:rPr>
          <w:rFonts w:ascii="Times New Roman" w:hAnsi="Times New Roman"/>
          <w:color w:val="000000"/>
        </w:rPr>
        <w:fldChar w:fldCharType="end"/>
      </w:r>
      <w:r>
        <w:rPr>
          <w:rFonts w:ascii="Times New Roman" w:hAnsi="Times New Roman"/>
          <w:color w:val="000000"/>
        </w:rPr>
        <w:fldChar w:fldCharType="end"/>
      </w:r>
    </w:p>
    <w:p>
      <w:pPr>
        <w:pStyle w:val="5"/>
        <w:tabs>
          <w:tab w:val="right" w:leader="dot" w:pos="8844"/>
        </w:tabs>
        <w:rPr>
          <w:rFonts w:ascii="Times New Roman" w:hAnsi="Times New Roman"/>
          <w:color w:val="000000"/>
        </w:rPr>
      </w:pPr>
      <w:r>
        <w:fldChar w:fldCharType="begin"/>
      </w:r>
      <w:r>
        <w:instrText xml:space="preserve"> HYPERLINK \l "_Toc20727" </w:instrText>
      </w:r>
      <w:r>
        <w:fldChar w:fldCharType="separate"/>
      </w:r>
      <w:r>
        <w:rPr>
          <w:rFonts w:hint="eastAsia" w:ascii="Times New Roman" w:hAnsi="Times New Roman" w:eastAsia="方正小标宋简体"/>
          <w:color w:val="000000"/>
          <w:szCs w:val="40"/>
        </w:rPr>
        <w:t>第七章</w:t>
      </w:r>
      <w:r>
        <w:rPr>
          <w:rFonts w:ascii="Times New Roman" w:hAnsi="Times New Roman" w:eastAsia="方正小标宋简体"/>
          <w:color w:val="000000"/>
          <w:szCs w:val="40"/>
        </w:rPr>
        <w:t xml:space="preserve"> </w:t>
      </w:r>
      <w:r>
        <w:rPr>
          <w:rFonts w:hint="eastAsia" w:ascii="Times New Roman" w:hAnsi="Times New Roman" w:eastAsia="方正小标宋简体"/>
          <w:color w:val="000000"/>
          <w:szCs w:val="40"/>
        </w:rPr>
        <w:t>严格开发建设活动的生态环境保护</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_Toc20727 </w:instrText>
      </w:r>
      <w:r>
        <w:rPr>
          <w:rFonts w:ascii="Times New Roman" w:hAnsi="Times New Roman"/>
          <w:color w:val="000000"/>
        </w:rPr>
        <w:fldChar w:fldCharType="separate"/>
      </w:r>
      <w:r>
        <w:rPr>
          <w:rFonts w:ascii="Times New Roman" w:hAnsi="Times New Roman"/>
          <w:color w:val="000000"/>
        </w:rPr>
        <w:t>- 40 -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ind w:left="31680"/>
        <w:rPr>
          <w:rFonts w:ascii="Times New Roman" w:hAnsi="Times New Roman"/>
          <w:color w:val="000000"/>
        </w:rPr>
      </w:pPr>
      <w:r>
        <w:fldChar w:fldCharType="begin"/>
      </w:r>
      <w:r>
        <w:instrText xml:space="preserve"> HYPERLINK \l "_Toc25893" </w:instrText>
      </w:r>
      <w:r>
        <w:fldChar w:fldCharType="separate"/>
      </w:r>
      <w:r>
        <w:rPr>
          <w:rFonts w:hint="eastAsia" w:ascii="Times New Roman" w:hAnsi="Times New Roman" w:eastAsia="楷体_GB2312"/>
          <w:bCs/>
          <w:color w:val="000000"/>
          <w:szCs w:val="32"/>
        </w:rPr>
        <w:t>第一节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矿产资源开发保护</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_Toc25893 </w:instrText>
      </w:r>
      <w:r>
        <w:rPr>
          <w:rFonts w:ascii="Times New Roman" w:hAnsi="Times New Roman"/>
          <w:color w:val="000000"/>
        </w:rPr>
        <w:fldChar w:fldCharType="separate"/>
      </w:r>
      <w:r>
        <w:rPr>
          <w:rFonts w:ascii="Times New Roman" w:hAnsi="Times New Roman"/>
          <w:color w:val="000000"/>
        </w:rPr>
        <w:t>- 40 -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ind w:left="31680"/>
        <w:rPr>
          <w:rFonts w:ascii="Times New Roman" w:hAnsi="Times New Roman"/>
          <w:color w:val="000000"/>
        </w:rPr>
      </w:pPr>
      <w:r>
        <w:fldChar w:fldCharType="begin"/>
      </w:r>
      <w:r>
        <w:instrText xml:space="preserve"> HYPERLINK \l "_Toc29276" </w:instrText>
      </w:r>
      <w:r>
        <w:fldChar w:fldCharType="separate"/>
      </w:r>
      <w:r>
        <w:rPr>
          <w:rFonts w:hint="eastAsia" w:ascii="Times New Roman" w:hAnsi="Times New Roman" w:eastAsia="楷体_GB2312"/>
          <w:bCs/>
          <w:color w:val="000000"/>
          <w:szCs w:val="32"/>
        </w:rPr>
        <w:t>第二节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交通设施建设保护</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_Toc29276 </w:instrText>
      </w:r>
      <w:r>
        <w:rPr>
          <w:rFonts w:ascii="Times New Roman" w:hAnsi="Times New Roman"/>
          <w:color w:val="000000"/>
        </w:rPr>
        <w:fldChar w:fldCharType="separate"/>
      </w:r>
      <w:r>
        <w:rPr>
          <w:rFonts w:ascii="Times New Roman" w:hAnsi="Times New Roman"/>
          <w:color w:val="000000"/>
        </w:rPr>
        <w:t>- 42 -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ind w:left="31680"/>
        <w:rPr>
          <w:rFonts w:ascii="Times New Roman" w:hAnsi="Times New Roman"/>
          <w:color w:val="000000"/>
        </w:rPr>
      </w:pPr>
      <w:r>
        <w:fldChar w:fldCharType="begin"/>
      </w:r>
      <w:r>
        <w:instrText xml:space="preserve"> HYPERLINK \l "_Toc11303" </w:instrText>
      </w:r>
      <w:r>
        <w:fldChar w:fldCharType="separate"/>
      </w:r>
      <w:r>
        <w:rPr>
          <w:rFonts w:hint="eastAsia" w:ascii="Times New Roman" w:hAnsi="Times New Roman" w:eastAsia="楷体_GB2312"/>
          <w:bCs/>
          <w:color w:val="000000"/>
          <w:szCs w:val="32"/>
        </w:rPr>
        <w:t>第三节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城镇乡村建设保护</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_Toc11303 </w:instrText>
      </w:r>
      <w:r>
        <w:rPr>
          <w:rFonts w:ascii="Times New Roman" w:hAnsi="Times New Roman"/>
          <w:color w:val="000000"/>
        </w:rPr>
        <w:fldChar w:fldCharType="separate"/>
      </w:r>
      <w:r>
        <w:rPr>
          <w:rFonts w:ascii="Times New Roman" w:hAnsi="Times New Roman"/>
          <w:color w:val="000000"/>
        </w:rPr>
        <w:t>- 43 -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ind w:left="31680"/>
        <w:rPr>
          <w:rFonts w:ascii="Times New Roman" w:hAnsi="Times New Roman"/>
          <w:color w:val="000000"/>
        </w:rPr>
      </w:pPr>
      <w:r>
        <w:fldChar w:fldCharType="begin"/>
      </w:r>
      <w:r>
        <w:instrText xml:space="preserve"> HYPERLINK \l "_Toc24163" </w:instrText>
      </w:r>
      <w:r>
        <w:fldChar w:fldCharType="separate"/>
      </w:r>
      <w:r>
        <w:rPr>
          <w:rFonts w:hint="eastAsia" w:ascii="Times New Roman" w:hAnsi="Times New Roman" w:eastAsia="楷体_GB2312"/>
          <w:bCs/>
          <w:color w:val="000000"/>
          <w:szCs w:val="32"/>
        </w:rPr>
        <w:t>第四节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旅游开发建设保护</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_Toc24163 </w:instrText>
      </w:r>
      <w:r>
        <w:rPr>
          <w:rFonts w:ascii="Times New Roman" w:hAnsi="Times New Roman"/>
          <w:color w:val="000000"/>
        </w:rPr>
        <w:fldChar w:fldCharType="separate"/>
      </w:r>
      <w:r>
        <w:rPr>
          <w:rFonts w:ascii="Times New Roman" w:hAnsi="Times New Roman"/>
          <w:color w:val="000000"/>
        </w:rPr>
        <w:t>- 44 -</w:t>
      </w:r>
      <w:r>
        <w:rPr>
          <w:rFonts w:ascii="Times New Roman" w:hAnsi="Times New Roman"/>
          <w:color w:val="000000"/>
        </w:rPr>
        <w:fldChar w:fldCharType="end"/>
      </w:r>
      <w:r>
        <w:rPr>
          <w:rFonts w:ascii="Times New Roman" w:hAnsi="Times New Roman"/>
          <w:color w:val="000000"/>
        </w:rPr>
        <w:fldChar w:fldCharType="end"/>
      </w:r>
    </w:p>
    <w:p>
      <w:pPr>
        <w:pStyle w:val="5"/>
        <w:tabs>
          <w:tab w:val="right" w:leader="dot" w:pos="8844"/>
        </w:tabs>
        <w:rPr>
          <w:rFonts w:ascii="Times New Roman" w:hAnsi="Times New Roman"/>
          <w:color w:val="000000"/>
        </w:rPr>
      </w:pPr>
      <w:r>
        <w:fldChar w:fldCharType="begin"/>
      </w:r>
      <w:r>
        <w:instrText xml:space="preserve"> HYPERLINK \l "_Toc23810" </w:instrText>
      </w:r>
      <w:r>
        <w:fldChar w:fldCharType="separate"/>
      </w:r>
      <w:r>
        <w:rPr>
          <w:rFonts w:hint="eastAsia" w:ascii="Times New Roman" w:hAnsi="Times New Roman" w:eastAsia="方正小标宋简体"/>
          <w:color w:val="000000"/>
          <w:szCs w:val="40"/>
        </w:rPr>
        <w:t>第八章</w:t>
      </w:r>
      <w:r>
        <w:rPr>
          <w:rFonts w:ascii="Times New Roman" w:hAnsi="Times New Roman" w:eastAsia="方正小标宋简体"/>
          <w:color w:val="000000"/>
          <w:szCs w:val="40"/>
        </w:rPr>
        <w:t xml:space="preserve">  </w:t>
      </w:r>
      <w:r>
        <w:rPr>
          <w:rFonts w:hint="eastAsia" w:ascii="Times New Roman" w:hAnsi="Times New Roman" w:eastAsia="方正小标宋简体"/>
          <w:color w:val="000000"/>
          <w:szCs w:val="40"/>
        </w:rPr>
        <w:t>推进生态环境修复治理</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_Toc23810 </w:instrText>
      </w:r>
      <w:r>
        <w:rPr>
          <w:rFonts w:ascii="Times New Roman" w:hAnsi="Times New Roman"/>
          <w:color w:val="000000"/>
        </w:rPr>
        <w:fldChar w:fldCharType="separate"/>
      </w:r>
      <w:r>
        <w:rPr>
          <w:rFonts w:ascii="Times New Roman" w:hAnsi="Times New Roman"/>
          <w:color w:val="000000"/>
        </w:rPr>
        <w:t>- 46 -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ind w:left="31680"/>
        <w:rPr>
          <w:rFonts w:ascii="Times New Roman" w:hAnsi="Times New Roman"/>
          <w:color w:val="000000"/>
        </w:rPr>
      </w:pPr>
      <w:r>
        <w:fldChar w:fldCharType="begin"/>
      </w:r>
      <w:r>
        <w:instrText xml:space="preserve"> HYPERLINK \l "_Toc17566" </w:instrText>
      </w:r>
      <w:r>
        <w:fldChar w:fldCharType="separate"/>
      </w:r>
      <w:r>
        <w:rPr>
          <w:rFonts w:hint="eastAsia" w:ascii="Times New Roman" w:hAnsi="Times New Roman" w:eastAsia="楷体_GB2312"/>
          <w:bCs/>
          <w:color w:val="000000"/>
          <w:szCs w:val="32"/>
        </w:rPr>
        <w:t>第一节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矿山地质环境</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_Toc17566 </w:instrText>
      </w:r>
      <w:r>
        <w:rPr>
          <w:rFonts w:ascii="Times New Roman" w:hAnsi="Times New Roman"/>
          <w:color w:val="000000"/>
        </w:rPr>
        <w:fldChar w:fldCharType="separate"/>
      </w:r>
      <w:r>
        <w:rPr>
          <w:rFonts w:ascii="Times New Roman" w:hAnsi="Times New Roman"/>
          <w:color w:val="000000"/>
        </w:rPr>
        <w:t>- 46 -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ind w:left="31680"/>
        <w:rPr>
          <w:rFonts w:ascii="Times New Roman" w:hAnsi="Times New Roman"/>
          <w:color w:val="000000"/>
        </w:rPr>
      </w:pPr>
      <w:r>
        <w:fldChar w:fldCharType="begin"/>
      </w:r>
      <w:r>
        <w:instrText xml:space="preserve"> HYPERLINK \l "_Toc14606" </w:instrText>
      </w:r>
      <w:r>
        <w:fldChar w:fldCharType="separate"/>
      </w:r>
      <w:r>
        <w:rPr>
          <w:rFonts w:hint="eastAsia" w:ascii="Times New Roman" w:hAnsi="Times New Roman" w:eastAsia="楷体_GB2312"/>
          <w:bCs/>
          <w:color w:val="000000"/>
          <w:szCs w:val="32"/>
        </w:rPr>
        <w:t>第二节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小水电站</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_Toc14606 </w:instrText>
      </w:r>
      <w:r>
        <w:rPr>
          <w:rFonts w:ascii="Times New Roman" w:hAnsi="Times New Roman"/>
          <w:color w:val="000000"/>
        </w:rPr>
        <w:fldChar w:fldCharType="separate"/>
      </w:r>
      <w:r>
        <w:rPr>
          <w:rFonts w:ascii="Times New Roman" w:hAnsi="Times New Roman"/>
          <w:color w:val="000000"/>
        </w:rPr>
        <w:t>- 47 -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ind w:left="31680"/>
        <w:rPr>
          <w:rFonts w:ascii="Times New Roman" w:hAnsi="Times New Roman"/>
          <w:color w:val="000000"/>
        </w:rPr>
      </w:pPr>
      <w:r>
        <w:fldChar w:fldCharType="begin"/>
      </w:r>
      <w:r>
        <w:instrText xml:space="preserve"> HYPERLINK \l "_Toc6373" </w:instrText>
      </w:r>
      <w:r>
        <w:fldChar w:fldCharType="separate"/>
      </w:r>
      <w:r>
        <w:rPr>
          <w:rFonts w:hint="eastAsia" w:ascii="Times New Roman" w:hAnsi="Times New Roman" w:eastAsia="楷体_GB2312"/>
          <w:bCs/>
          <w:color w:val="000000"/>
          <w:szCs w:val="32"/>
        </w:rPr>
        <w:t>第三节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尾矿库</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_Toc6373 </w:instrText>
      </w:r>
      <w:r>
        <w:rPr>
          <w:rFonts w:ascii="Times New Roman" w:hAnsi="Times New Roman"/>
          <w:color w:val="000000"/>
        </w:rPr>
        <w:fldChar w:fldCharType="separate"/>
      </w:r>
      <w:r>
        <w:rPr>
          <w:rFonts w:ascii="Times New Roman" w:hAnsi="Times New Roman"/>
          <w:color w:val="000000"/>
        </w:rPr>
        <w:t>- 48 -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ind w:left="31680"/>
        <w:rPr>
          <w:rFonts w:ascii="Times New Roman" w:hAnsi="Times New Roman"/>
          <w:color w:val="000000"/>
        </w:rPr>
      </w:pPr>
      <w:r>
        <w:fldChar w:fldCharType="begin"/>
      </w:r>
      <w:r>
        <w:instrText xml:space="preserve"> HYPERLINK \l "_Toc17692" </w:instrText>
      </w:r>
      <w:r>
        <w:fldChar w:fldCharType="separate"/>
      </w:r>
      <w:r>
        <w:rPr>
          <w:rFonts w:hint="eastAsia" w:ascii="Times New Roman" w:hAnsi="Times New Roman" w:eastAsia="楷体_GB2312"/>
          <w:bCs/>
          <w:color w:val="000000"/>
          <w:szCs w:val="32"/>
        </w:rPr>
        <w:t>第四节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地质灾害</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_Toc17692 </w:instrText>
      </w:r>
      <w:r>
        <w:rPr>
          <w:rFonts w:ascii="Times New Roman" w:hAnsi="Times New Roman"/>
          <w:color w:val="000000"/>
        </w:rPr>
        <w:fldChar w:fldCharType="separate"/>
      </w:r>
      <w:r>
        <w:rPr>
          <w:rFonts w:ascii="Times New Roman" w:hAnsi="Times New Roman"/>
          <w:color w:val="000000"/>
        </w:rPr>
        <w:t>- 49 -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ind w:left="31680"/>
        <w:rPr>
          <w:rFonts w:ascii="Times New Roman" w:hAnsi="Times New Roman"/>
          <w:color w:val="000000"/>
        </w:rPr>
      </w:pPr>
      <w:r>
        <w:fldChar w:fldCharType="begin"/>
      </w:r>
      <w:r>
        <w:instrText xml:space="preserve"> HYPERLINK \l "_Toc5046" </w:instrText>
      </w:r>
      <w:r>
        <w:fldChar w:fldCharType="separate"/>
      </w:r>
      <w:r>
        <w:rPr>
          <w:rFonts w:hint="eastAsia" w:ascii="Times New Roman" w:hAnsi="Times New Roman" w:eastAsia="楷体_GB2312"/>
          <w:bCs/>
          <w:color w:val="000000"/>
          <w:szCs w:val="32"/>
        </w:rPr>
        <w:t>第五节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农业农村环境</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_Toc5046 </w:instrText>
      </w:r>
      <w:r>
        <w:rPr>
          <w:rFonts w:ascii="Times New Roman" w:hAnsi="Times New Roman"/>
          <w:color w:val="000000"/>
        </w:rPr>
        <w:fldChar w:fldCharType="separate"/>
      </w:r>
      <w:r>
        <w:rPr>
          <w:rFonts w:ascii="Times New Roman" w:hAnsi="Times New Roman"/>
          <w:color w:val="000000"/>
        </w:rPr>
        <w:t>- 49 -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ind w:left="31680"/>
        <w:rPr>
          <w:rFonts w:ascii="Times New Roman" w:hAnsi="Times New Roman"/>
          <w:color w:val="000000"/>
        </w:rPr>
      </w:pPr>
      <w:r>
        <w:fldChar w:fldCharType="begin"/>
      </w:r>
      <w:r>
        <w:instrText xml:space="preserve"> HYPERLINK \l "_Toc19161" </w:instrText>
      </w:r>
      <w:r>
        <w:fldChar w:fldCharType="separate"/>
      </w:r>
      <w:r>
        <w:rPr>
          <w:rFonts w:hint="eastAsia" w:ascii="Times New Roman" w:hAnsi="Times New Roman" w:eastAsia="楷体_GB2312"/>
          <w:bCs/>
          <w:color w:val="000000"/>
          <w:szCs w:val="32"/>
        </w:rPr>
        <w:t>第六节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重金属污染</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_Toc19161 </w:instrText>
      </w:r>
      <w:r>
        <w:rPr>
          <w:rFonts w:ascii="Times New Roman" w:hAnsi="Times New Roman"/>
          <w:color w:val="000000"/>
        </w:rPr>
        <w:fldChar w:fldCharType="separate"/>
      </w:r>
      <w:r>
        <w:rPr>
          <w:rFonts w:ascii="Times New Roman" w:hAnsi="Times New Roman"/>
          <w:color w:val="000000"/>
        </w:rPr>
        <w:t>- 50 -</w:t>
      </w:r>
      <w:r>
        <w:rPr>
          <w:rFonts w:ascii="Times New Roman" w:hAnsi="Times New Roman"/>
          <w:color w:val="000000"/>
        </w:rPr>
        <w:fldChar w:fldCharType="end"/>
      </w:r>
      <w:r>
        <w:rPr>
          <w:rFonts w:ascii="Times New Roman" w:hAnsi="Times New Roman"/>
          <w:color w:val="000000"/>
        </w:rPr>
        <w:fldChar w:fldCharType="end"/>
      </w:r>
    </w:p>
    <w:p>
      <w:pPr>
        <w:pStyle w:val="5"/>
        <w:tabs>
          <w:tab w:val="right" w:leader="dot" w:pos="8844"/>
        </w:tabs>
        <w:rPr>
          <w:rFonts w:ascii="Times New Roman" w:hAnsi="Times New Roman"/>
          <w:color w:val="000000"/>
        </w:rPr>
      </w:pPr>
      <w:r>
        <w:fldChar w:fldCharType="begin"/>
      </w:r>
      <w:r>
        <w:instrText xml:space="preserve"> HYPERLINK \l "_Toc9867" </w:instrText>
      </w:r>
      <w:r>
        <w:fldChar w:fldCharType="separate"/>
      </w:r>
      <w:r>
        <w:rPr>
          <w:rFonts w:hint="eastAsia" w:ascii="Times New Roman" w:hAnsi="Times New Roman" w:eastAsia="方正小标宋简体"/>
          <w:color w:val="000000"/>
          <w:szCs w:val="40"/>
        </w:rPr>
        <w:t>第九章</w:t>
      </w:r>
      <w:r>
        <w:rPr>
          <w:rFonts w:ascii="Times New Roman" w:hAnsi="Times New Roman" w:eastAsia="方正小标宋简体"/>
          <w:color w:val="000000"/>
          <w:szCs w:val="40"/>
        </w:rPr>
        <w:t xml:space="preserve">  </w:t>
      </w:r>
      <w:r>
        <w:rPr>
          <w:rFonts w:hint="eastAsia" w:ascii="Times New Roman" w:hAnsi="Times New Roman" w:eastAsia="方正小标宋简体"/>
          <w:color w:val="000000"/>
          <w:szCs w:val="40"/>
        </w:rPr>
        <w:t>加快绿色循环发展</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_Toc9867 </w:instrText>
      </w:r>
      <w:r>
        <w:rPr>
          <w:rFonts w:ascii="Times New Roman" w:hAnsi="Times New Roman"/>
          <w:color w:val="000000"/>
        </w:rPr>
        <w:fldChar w:fldCharType="separate"/>
      </w:r>
      <w:r>
        <w:rPr>
          <w:rFonts w:ascii="Times New Roman" w:hAnsi="Times New Roman"/>
          <w:color w:val="000000"/>
        </w:rPr>
        <w:t>- 51 -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ind w:left="31680"/>
        <w:rPr>
          <w:rFonts w:ascii="Times New Roman" w:hAnsi="Times New Roman"/>
          <w:color w:val="000000"/>
        </w:rPr>
      </w:pPr>
      <w:r>
        <w:fldChar w:fldCharType="begin"/>
      </w:r>
      <w:r>
        <w:instrText xml:space="preserve"> HYPERLINK \l "_Toc4693" </w:instrText>
      </w:r>
      <w:r>
        <w:fldChar w:fldCharType="separate"/>
      </w:r>
      <w:r>
        <w:rPr>
          <w:rFonts w:hint="eastAsia" w:ascii="Times New Roman" w:hAnsi="Times New Roman" w:eastAsia="楷体_GB2312"/>
          <w:bCs/>
          <w:color w:val="000000"/>
          <w:szCs w:val="32"/>
        </w:rPr>
        <w:t>第一节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循环经济</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_Toc4693 </w:instrText>
      </w:r>
      <w:r>
        <w:rPr>
          <w:rFonts w:ascii="Times New Roman" w:hAnsi="Times New Roman"/>
          <w:color w:val="000000"/>
        </w:rPr>
        <w:fldChar w:fldCharType="separate"/>
      </w:r>
      <w:r>
        <w:rPr>
          <w:rFonts w:ascii="Times New Roman" w:hAnsi="Times New Roman"/>
          <w:color w:val="000000"/>
        </w:rPr>
        <w:t>- 51 -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ind w:left="31680"/>
        <w:rPr>
          <w:rFonts w:ascii="Times New Roman" w:hAnsi="Times New Roman"/>
          <w:color w:val="000000"/>
        </w:rPr>
      </w:pPr>
      <w:r>
        <w:fldChar w:fldCharType="begin"/>
      </w:r>
      <w:r>
        <w:instrText xml:space="preserve"> HYPERLINK \l "_Toc3014" </w:instrText>
      </w:r>
      <w:r>
        <w:fldChar w:fldCharType="separate"/>
      </w:r>
      <w:r>
        <w:rPr>
          <w:rFonts w:hint="eastAsia" w:ascii="Times New Roman" w:hAnsi="Times New Roman" w:eastAsia="楷体_GB2312"/>
          <w:bCs/>
          <w:color w:val="000000"/>
          <w:szCs w:val="32"/>
        </w:rPr>
        <w:t>第二节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特色农业</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_Toc3014 </w:instrText>
      </w:r>
      <w:r>
        <w:rPr>
          <w:rFonts w:ascii="Times New Roman" w:hAnsi="Times New Roman"/>
          <w:color w:val="000000"/>
        </w:rPr>
        <w:fldChar w:fldCharType="separate"/>
      </w:r>
      <w:r>
        <w:rPr>
          <w:rFonts w:ascii="Times New Roman" w:hAnsi="Times New Roman"/>
          <w:color w:val="000000"/>
        </w:rPr>
        <w:t>- 52 -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ind w:left="31680"/>
        <w:rPr>
          <w:rFonts w:ascii="Times New Roman" w:hAnsi="Times New Roman"/>
          <w:color w:val="000000"/>
        </w:rPr>
      </w:pPr>
      <w:r>
        <w:fldChar w:fldCharType="begin"/>
      </w:r>
      <w:r>
        <w:instrText xml:space="preserve"> HYPERLINK \l "_Toc31920" </w:instrText>
      </w:r>
      <w:r>
        <w:fldChar w:fldCharType="separate"/>
      </w:r>
      <w:r>
        <w:rPr>
          <w:rFonts w:hint="eastAsia" w:ascii="Times New Roman" w:hAnsi="Times New Roman" w:eastAsia="楷体_GB2312"/>
          <w:bCs/>
          <w:color w:val="000000"/>
          <w:szCs w:val="32"/>
        </w:rPr>
        <w:t>第三节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大旅游产业</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_Toc31920 </w:instrText>
      </w:r>
      <w:r>
        <w:rPr>
          <w:rFonts w:ascii="Times New Roman" w:hAnsi="Times New Roman"/>
          <w:color w:val="000000"/>
        </w:rPr>
        <w:fldChar w:fldCharType="separate"/>
      </w:r>
      <w:r>
        <w:rPr>
          <w:rFonts w:ascii="Times New Roman" w:hAnsi="Times New Roman"/>
          <w:color w:val="000000"/>
        </w:rPr>
        <w:t>- 54 -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ind w:left="31680"/>
        <w:rPr>
          <w:rFonts w:ascii="Times New Roman" w:hAnsi="Times New Roman"/>
          <w:color w:val="000000"/>
        </w:rPr>
      </w:pPr>
      <w:r>
        <w:fldChar w:fldCharType="begin"/>
      </w:r>
      <w:r>
        <w:instrText xml:space="preserve"> HYPERLINK \l "_Toc5933" </w:instrText>
      </w:r>
      <w:r>
        <w:fldChar w:fldCharType="separate"/>
      </w:r>
      <w:r>
        <w:rPr>
          <w:rFonts w:hint="eastAsia" w:ascii="Times New Roman" w:hAnsi="Times New Roman" w:eastAsia="楷体_GB2312"/>
          <w:bCs/>
          <w:color w:val="000000"/>
          <w:szCs w:val="32"/>
        </w:rPr>
        <w:t>第四节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大健康产业</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_Toc5933 </w:instrText>
      </w:r>
      <w:r>
        <w:rPr>
          <w:rFonts w:ascii="Times New Roman" w:hAnsi="Times New Roman"/>
          <w:color w:val="000000"/>
        </w:rPr>
        <w:fldChar w:fldCharType="separate"/>
      </w:r>
      <w:r>
        <w:rPr>
          <w:rFonts w:ascii="Times New Roman" w:hAnsi="Times New Roman"/>
          <w:color w:val="000000"/>
        </w:rPr>
        <w:t>- 56 -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ind w:left="31680"/>
        <w:rPr>
          <w:rFonts w:ascii="Times New Roman" w:hAnsi="Times New Roman"/>
          <w:color w:val="000000"/>
        </w:rPr>
      </w:pPr>
      <w:r>
        <w:fldChar w:fldCharType="begin"/>
      </w:r>
      <w:r>
        <w:instrText xml:space="preserve"> HYPERLINK \l "_Toc12600" </w:instrText>
      </w:r>
      <w:r>
        <w:fldChar w:fldCharType="separate"/>
      </w:r>
      <w:r>
        <w:rPr>
          <w:rFonts w:hint="eastAsia" w:ascii="Times New Roman" w:hAnsi="Times New Roman" w:eastAsia="楷体_GB2312"/>
          <w:bCs/>
          <w:color w:val="000000"/>
          <w:szCs w:val="32"/>
        </w:rPr>
        <w:t>第五节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新材料产业</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_Toc12600 </w:instrText>
      </w:r>
      <w:r>
        <w:rPr>
          <w:rFonts w:ascii="Times New Roman" w:hAnsi="Times New Roman"/>
          <w:color w:val="000000"/>
        </w:rPr>
        <w:fldChar w:fldCharType="separate"/>
      </w:r>
      <w:r>
        <w:rPr>
          <w:rFonts w:ascii="Times New Roman" w:hAnsi="Times New Roman"/>
          <w:color w:val="000000"/>
        </w:rPr>
        <w:t>- 57 -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ind w:left="31680"/>
        <w:rPr>
          <w:rFonts w:ascii="Times New Roman" w:hAnsi="Times New Roman"/>
          <w:color w:val="000000"/>
        </w:rPr>
      </w:pPr>
      <w:r>
        <w:fldChar w:fldCharType="begin"/>
      </w:r>
      <w:r>
        <w:instrText xml:space="preserve"> HYPERLINK \l "_Toc21253" </w:instrText>
      </w:r>
      <w:r>
        <w:fldChar w:fldCharType="separate"/>
      </w:r>
      <w:r>
        <w:rPr>
          <w:rFonts w:hint="eastAsia" w:ascii="Times New Roman" w:hAnsi="Times New Roman" w:eastAsia="楷体_GB2312"/>
          <w:bCs/>
          <w:color w:val="000000"/>
          <w:szCs w:val="32"/>
        </w:rPr>
        <w:t>第六节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产业准入</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_Toc21253 </w:instrText>
      </w:r>
      <w:r>
        <w:rPr>
          <w:rFonts w:ascii="Times New Roman" w:hAnsi="Times New Roman"/>
          <w:color w:val="000000"/>
        </w:rPr>
        <w:fldChar w:fldCharType="separate"/>
      </w:r>
      <w:r>
        <w:rPr>
          <w:rFonts w:ascii="Times New Roman" w:hAnsi="Times New Roman"/>
          <w:color w:val="000000"/>
        </w:rPr>
        <w:t>- 57 -</w:t>
      </w:r>
      <w:r>
        <w:rPr>
          <w:rFonts w:ascii="Times New Roman" w:hAnsi="Times New Roman"/>
          <w:color w:val="000000"/>
        </w:rPr>
        <w:fldChar w:fldCharType="end"/>
      </w:r>
      <w:r>
        <w:rPr>
          <w:rFonts w:ascii="Times New Roman" w:hAnsi="Times New Roman"/>
          <w:color w:val="000000"/>
        </w:rPr>
        <w:fldChar w:fldCharType="end"/>
      </w:r>
    </w:p>
    <w:p>
      <w:pPr>
        <w:pStyle w:val="5"/>
        <w:tabs>
          <w:tab w:val="right" w:leader="dot" w:pos="8844"/>
        </w:tabs>
        <w:rPr>
          <w:rFonts w:ascii="Times New Roman" w:hAnsi="Times New Roman"/>
          <w:color w:val="000000"/>
        </w:rPr>
      </w:pPr>
      <w:r>
        <w:fldChar w:fldCharType="begin"/>
      </w:r>
      <w:r>
        <w:instrText xml:space="preserve"> HYPERLINK \l "_Toc22658" </w:instrText>
      </w:r>
      <w:r>
        <w:fldChar w:fldCharType="separate"/>
      </w:r>
      <w:r>
        <w:rPr>
          <w:rFonts w:hint="eastAsia" w:ascii="Times New Roman" w:hAnsi="Times New Roman" w:eastAsia="方正小标宋简体"/>
          <w:color w:val="000000"/>
          <w:szCs w:val="40"/>
        </w:rPr>
        <w:t>第十章</w:t>
      </w:r>
      <w:r>
        <w:rPr>
          <w:rFonts w:ascii="Times New Roman" w:hAnsi="Times New Roman" w:eastAsia="方正小标宋简体"/>
          <w:color w:val="000000"/>
          <w:szCs w:val="40"/>
        </w:rPr>
        <w:t xml:space="preserve">  </w:t>
      </w:r>
      <w:r>
        <w:rPr>
          <w:rFonts w:hint="eastAsia" w:ascii="Times New Roman" w:hAnsi="Times New Roman" w:eastAsia="方正小标宋简体"/>
          <w:color w:val="000000"/>
          <w:szCs w:val="40"/>
        </w:rPr>
        <w:t>建设美丽幸福新洛南</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_Toc22658 </w:instrText>
      </w:r>
      <w:r>
        <w:rPr>
          <w:rFonts w:ascii="Times New Roman" w:hAnsi="Times New Roman"/>
          <w:color w:val="000000"/>
        </w:rPr>
        <w:fldChar w:fldCharType="separate"/>
      </w:r>
      <w:r>
        <w:rPr>
          <w:rFonts w:ascii="Times New Roman" w:hAnsi="Times New Roman"/>
          <w:color w:val="000000"/>
        </w:rPr>
        <w:t>- 58 -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ind w:left="31680"/>
        <w:rPr>
          <w:rFonts w:ascii="Times New Roman" w:hAnsi="Times New Roman"/>
          <w:color w:val="000000"/>
        </w:rPr>
      </w:pPr>
      <w:r>
        <w:fldChar w:fldCharType="begin"/>
      </w:r>
      <w:r>
        <w:instrText xml:space="preserve"> HYPERLINK \l "_Toc5968" </w:instrText>
      </w:r>
      <w:r>
        <w:fldChar w:fldCharType="separate"/>
      </w:r>
      <w:r>
        <w:rPr>
          <w:rFonts w:hint="eastAsia" w:ascii="Times New Roman" w:hAnsi="Times New Roman" w:eastAsia="楷体_GB2312"/>
          <w:bCs/>
          <w:color w:val="000000"/>
          <w:szCs w:val="32"/>
        </w:rPr>
        <w:t>第一节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巩固脱贫攻坚成果</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_Toc5968 </w:instrText>
      </w:r>
      <w:r>
        <w:rPr>
          <w:rFonts w:ascii="Times New Roman" w:hAnsi="Times New Roman"/>
          <w:color w:val="000000"/>
        </w:rPr>
        <w:fldChar w:fldCharType="separate"/>
      </w:r>
      <w:r>
        <w:rPr>
          <w:rFonts w:ascii="Times New Roman" w:hAnsi="Times New Roman"/>
          <w:color w:val="000000"/>
        </w:rPr>
        <w:t>- 58 -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ind w:left="31680"/>
        <w:rPr>
          <w:rFonts w:ascii="Times New Roman" w:hAnsi="Times New Roman"/>
          <w:color w:val="000000"/>
        </w:rPr>
      </w:pPr>
      <w:r>
        <w:fldChar w:fldCharType="begin"/>
      </w:r>
      <w:r>
        <w:instrText xml:space="preserve"> HYPERLINK \l "_Toc32069" </w:instrText>
      </w:r>
      <w:r>
        <w:fldChar w:fldCharType="separate"/>
      </w:r>
      <w:r>
        <w:rPr>
          <w:rFonts w:hint="eastAsia" w:ascii="Times New Roman" w:hAnsi="Times New Roman" w:eastAsia="楷体_GB2312"/>
          <w:bCs/>
          <w:color w:val="000000"/>
          <w:szCs w:val="32"/>
        </w:rPr>
        <w:t>第二节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实施乡村振兴战略</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_Toc32069 </w:instrText>
      </w:r>
      <w:r>
        <w:rPr>
          <w:rFonts w:ascii="Times New Roman" w:hAnsi="Times New Roman"/>
          <w:color w:val="000000"/>
        </w:rPr>
        <w:fldChar w:fldCharType="separate"/>
      </w:r>
      <w:r>
        <w:rPr>
          <w:rFonts w:ascii="Times New Roman" w:hAnsi="Times New Roman"/>
          <w:color w:val="000000"/>
        </w:rPr>
        <w:t>- 59 -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ind w:left="31680"/>
        <w:rPr>
          <w:rFonts w:ascii="Times New Roman" w:hAnsi="Times New Roman"/>
          <w:color w:val="000000"/>
        </w:rPr>
      </w:pPr>
      <w:r>
        <w:fldChar w:fldCharType="begin"/>
      </w:r>
      <w:r>
        <w:instrText xml:space="preserve"> HYPERLINK \l "_Toc29630" </w:instrText>
      </w:r>
      <w:r>
        <w:fldChar w:fldCharType="separate"/>
      </w:r>
      <w:r>
        <w:rPr>
          <w:rFonts w:hint="eastAsia" w:ascii="Times New Roman" w:hAnsi="Times New Roman" w:eastAsia="楷体_GB2312"/>
          <w:bCs/>
          <w:color w:val="000000"/>
          <w:szCs w:val="32"/>
        </w:rPr>
        <w:t>第三节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推进公共服务发展</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_Toc29630 </w:instrText>
      </w:r>
      <w:r>
        <w:rPr>
          <w:rFonts w:ascii="Times New Roman" w:hAnsi="Times New Roman"/>
          <w:color w:val="000000"/>
        </w:rPr>
        <w:fldChar w:fldCharType="separate"/>
      </w:r>
      <w:r>
        <w:rPr>
          <w:rFonts w:ascii="Times New Roman" w:hAnsi="Times New Roman"/>
          <w:color w:val="000000"/>
        </w:rPr>
        <w:t>- 61 -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ind w:left="31680"/>
        <w:rPr>
          <w:rFonts w:ascii="Times New Roman" w:hAnsi="Times New Roman"/>
          <w:color w:val="000000"/>
        </w:rPr>
      </w:pPr>
      <w:r>
        <w:fldChar w:fldCharType="begin"/>
      </w:r>
      <w:r>
        <w:instrText xml:space="preserve"> HYPERLINK \l "_Toc10487" </w:instrText>
      </w:r>
      <w:r>
        <w:fldChar w:fldCharType="separate"/>
      </w:r>
      <w:r>
        <w:rPr>
          <w:rFonts w:hint="eastAsia" w:ascii="Times New Roman" w:hAnsi="Times New Roman" w:eastAsia="楷体_GB2312"/>
          <w:bCs/>
          <w:color w:val="000000"/>
          <w:szCs w:val="32"/>
        </w:rPr>
        <w:t>第四节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坚决打赢污染防治攻坚战</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_Toc10487 </w:instrText>
      </w:r>
      <w:r>
        <w:rPr>
          <w:rFonts w:ascii="Times New Roman" w:hAnsi="Times New Roman"/>
          <w:color w:val="000000"/>
        </w:rPr>
        <w:fldChar w:fldCharType="separate"/>
      </w:r>
      <w:r>
        <w:rPr>
          <w:rFonts w:ascii="Times New Roman" w:hAnsi="Times New Roman"/>
          <w:color w:val="000000"/>
        </w:rPr>
        <w:t>- 62 -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ind w:left="31680"/>
        <w:rPr>
          <w:rFonts w:ascii="Times New Roman" w:hAnsi="Times New Roman"/>
          <w:color w:val="000000"/>
        </w:rPr>
      </w:pPr>
      <w:r>
        <w:fldChar w:fldCharType="begin"/>
      </w:r>
      <w:r>
        <w:instrText xml:space="preserve"> HYPERLINK \l "_Toc19018" </w:instrText>
      </w:r>
      <w:r>
        <w:fldChar w:fldCharType="separate"/>
      </w:r>
      <w:r>
        <w:rPr>
          <w:rFonts w:hint="eastAsia" w:ascii="Times New Roman" w:hAnsi="Times New Roman" w:eastAsia="楷体_GB2312"/>
          <w:bCs/>
          <w:color w:val="000000"/>
          <w:szCs w:val="32"/>
        </w:rPr>
        <w:t>第五节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打造精美县城</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_Toc19018 </w:instrText>
      </w:r>
      <w:r>
        <w:rPr>
          <w:rFonts w:ascii="Times New Roman" w:hAnsi="Times New Roman"/>
          <w:color w:val="000000"/>
        </w:rPr>
        <w:fldChar w:fldCharType="separate"/>
      </w:r>
      <w:r>
        <w:rPr>
          <w:rFonts w:ascii="Times New Roman" w:hAnsi="Times New Roman"/>
          <w:color w:val="000000"/>
        </w:rPr>
        <w:t>- 63 -</w:t>
      </w:r>
      <w:r>
        <w:rPr>
          <w:rFonts w:ascii="Times New Roman" w:hAnsi="Times New Roman"/>
          <w:color w:val="000000"/>
        </w:rPr>
        <w:fldChar w:fldCharType="end"/>
      </w:r>
      <w:r>
        <w:rPr>
          <w:rFonts w:ascii="Times New Roman" w:hAnsi="Times New Roman"/>
          <w:color w:val="000000"/>
        </w:rPr>
        <w:fldChar w:fldCharType="end"/>
      </w:r>
    </w:p>
    <w:p>
      <w:pPr>
        <w:pStyle w:val="5"/>
        <w:tabs>
          <w:tab w:val="right" w:leader="dot" w:pos="8844"/>
        </w:tabs>
        <w:rPr>
          <w:rFonts w:ascii="Times New Roman" w:hAnsi="Times New Roman"/>
          <w:color w:val="000000"/>
        </w:rPr>
      </w:pPr>
      <w:r>
        <w:fldChar w:fldCharType="begin"/>
      </w:r>
      <w:r>
        <w:instrText xml:space="preserve"> HYPERLINK \l "_Toc17032" </w:instrText>
      </w:r>
      <w:r>
        <w:fldChar w:fldCharType="separate"/>
      </w:r>
      <w:r>
        <w:rPr>
          <w:rFonts w:hint="eastAsia" w:ascii="Times New Roman" w:hAnsi="Times New Roman" w:eastAsia="方正小标宋简体"/>
          <w:color w:val="000000"/>
          <w:szCs w:val="40"/>
        </w:rPr>
        <w:t>第十一章</w:t>
      </w:r>
      <w:r>
        <w:rPr>
          <w:rFonts w:ascii="Times New Roman" w:hAnsi="Times New Roman" w:eastAsia="方正小标宋简体"/>
          <w:color w:val="000000"/>
          <w:szCs w:val="40"/>
        </w:rPr>
        <w:t xml:space="preserve">  </w:t>
      </w:r>
      <w:r>
        <w:rPr>
          <w:rFonts w:hint="eastAsia" w:ascii="Times New Roman" w:hAnsi="Times New Roman" w:eastAsia="方正小标宋简体"/>
          <w:color w:val="000000"/>
          <w:szCs w:val="40"/>
        </w:rPr>
        <w:t>方案实施</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_Toc17032 </w:instrText>
      </w:r>
      <w:r>
        <w:rPr>
          <w:rFonts w:ascii="Times New Roman" w:hAnsi="Times New Roman"/>
          <w:color w:val="000000"/>
        </w:rPr>
        <w:fldChar w:fldCharType="separate"/>
      </w:r>
      <w:r>
        <w:rPr>
          <w:rFonts w:ascii="Times New Roman" w:hAnsi="Times New Roman"/>
          <w:color w:val="000000"/>
        </w:rPr>
        <w:t>- 64 -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ind w:left="31680"/>
        <w:rPr>
          <w:rFonts w:ascii="Times New Roman" w:hAnsi="Times New Roman"/>
          <w:color w:val="000000"/>
        </w:rPr>
      </w:pPr>
      <w:r>
        <w:fldChar w:fldCharType="begin"/>
      </w:r>
      <w:r>
        <w:instrText xml:space="preserve"> HYPERLINK \l "_Toc10140" </w:instrText>
      </w:r>
      <w:r>
        <w:fldChar w:fldCharType="separate"/>
      </w:r>
      <w:r>
        <w:rPr>
          <w:rFonts w:hint="eastAsia" w:ascii="Times New Roman" w:hAnsi="Times New Roman" w:eastAsia="楷体_GB2312"/>
          <w:bCs/>
          <w:color w:val="000000"/>
          <w:szCs w:val="32"/>
        </w:rPr>
        <w:t>第一节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保护职责</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_Toc10140 </w:instrText>
      </w:r>
      <w:r>
        <w:rPr>
          <w:rFonts w:ascii="Times New Roman" w:hAnsi="Times New Roman"/>
          <w:color w:val="000000"/>
        </w:rPr>
        <w:fldChar w:fldCharType="separate"/>
      </w:r>
      <w:r>
        <w:rPr>
          <w:rFonts w:ascii="Times New Roman" w:hAnsi="Times New Roman"/>
          <w:color w:val="000000"/>
        </w:rPr>
        <w:t>- 64 -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ind w:left="31680"/>
        <w:rPr>
          <w:rFonts w:ascii="Times New Roman" w:hAnsi="Times New Roman"/>
          <w:color w:val="000000"/>
        </w:rPr>
      </w:pPr>
      <w:r>
        <w:fldChar w:fldCharType="begin"/>
      </w:r>
      <w:r>
        <w:instrText xml:space="preserve"> HYPERLINK \l "_Toc10151" </w:instrText>
      </w:r>
      <w:r>
        <w:fldChar w:fldCharType="separate"/>
      </w:r>
      <w:r>
        <w:rPr>
          <w:rFonts w:hint="eastAsia" w:ascii="Times New Roman" w:hAnsi="Times New Roman"/>
          <w:color w:val="000000"/>
        </w:rPr>
        <w:t>第</w:t>
      </w:r>
      <w:r>
        <w:rPr>
          <w:rFonts w:hint="eastAsia" w:ascii="Times New Roman" w:hAnsi="Times New Roman" w:eastAsia="楷体_GB2312"/>
          <w:bCs/>
          <w:color w:val="000000"/>
          <w:szCs w:val="32"/>
        </w:rPr>
        <w:t>二节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规划体系</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_Toc10151 </w:instrText>
      </w:r>
      <w:r>
        <w:rPr>
          <w:rFonts w:ascii="Times New Roman" w:hAnsi="Times New Roman"/>
          <w:color w:val="000000"/>
        </w:rPr>
        <w:fldChar w:fldCharType="separate"/>
      </w:r>
      <w:r>
        <w:rPr>
          <w:rFonts w:ascii="Times New Roman" w:hAnsi="Times New Roman"/>
          <w:color w:val="000000"/>
        </w:rPr>
        <w:t>- 65 -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ind w:left="31680"/>
        <w:rPr>
          <w:rFonts w:ascii="Times New Roman" w:hAnsi="Times New Roman"/>
          <w:color w:val="000000"/>
        </w:rPr>
      </w:pPr>
      <w:r>
        <w:fldChar w:fldCharType="begin"/>
      </w:r>
      <w:r>
        <w:instrText xml:space="preserve"> HYPERLINK \l "_Toc4007" </w:instrText>
      </w:r>
      <w:r>
        <w:fldChar w:fldCharType="separate"/>
      </w:r>
      <w:r>
        <w:rPr>
          <w:rFonts w:hint="eastAsia" w:ascii="Times New Roman" w:hAnsi="Times New Roman" w:eastAsia="楷体_GB2312"/>
          <w:bCs/>
          <w:color w:val="000000"/>
          <w:szCs w:val="32"/>
        </w:rPr>
        <w:t>第三节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制度建设</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_Toc4007 </w:instrText>
      </w:r>
      <w:r>
        <w:rPr>
          <w:rFonts w:ascii="Times New Roman" w:hAnsi="Times New Roman"/>
          <w:color w:val="000000"/>
        </w:rPr>
        <w:fldChar w:fldCharType="separate"/>
      </w:r>
      <w:r>
        <w:rPr>
          <w:rFonts w:ascii="Times New Roman" w:hAnsi="Times New Roman"/>
          <w:color w:val="000000"/>
        </w:rPr>
        <w:t>- 65 -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ind w:left="31680"/>
        <w:rPr>
          <w:rFonts w:ascii="Times New Roman" w:hAnsi="Times New Roman"/>
          <w:color w:val="000000"/>
        </w:rPr>
      </w:pPr>
      <w:r>
        <w:fldChar w:fldCharType="begin"/>
      </w:r>
      <w:r>
        <w:instrText xml:space="preserve"> HYPERLINK \l "_Toc32113" </w:instrText>
      </w:r>
      <w:r>
        <w:fldChar w:fldCharType="separate"/>
      </w:r>
      <w:r>
        <w:rPr>
          <w:rFonts w:hint="eastAsia" w:ascii="Times New Roman" w:hAnsi="Times New Roman" w:eastAsia="楷体_GB2312"/>
          <w:bCs/>
          <w:color w:val="000000"/>
          <w:szCs w:val="32"/>
        </w:rPr>
        <w:t>第四节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资金投入</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_Toc32113 </w:instrText>
      </w:r>
      <w:r>
        <w:rPr>
          <w:rFonts w:ascii="Times New Roman" w:hAnsi="Times New Roman"/>
          <w:color w:val="000000"/>
        </w:rPr>
        <w:fldChar w:fldCharType="separate"/>
      </w:r>
      <w:r>
        <w:rPr>
          <w:rFonts w:ascii="Times New Roman" w:hAnsi="Times New Roman"/>
          <w:color w:val="000000"/>
        </w:rPr>
        <w:t>- 65 -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ind w:left="31680"/>
        <w:rPr>
          <w:rFonts w:ascii="Times New Roman" w:hAnsi="Times New Roman"/>
          <w:color w:val="000000"/>
        </w:rPr>
      </w:pPr>
      <w:r>
        <w:fldChar w:fldCharType="begin"/>
      </w:r>
      <w:r>
        <w:instrText xml:space="preserve"> HYPERLINK \l "_Toc26660" </w:instrText>
      </w:r>
      <w:r>
        <w:fldChar w:fldCharType="separate"/>
      </w:r>
      <w:r>
        <w:rPr>
          <w:rFonts w:hint="eastAsia" w:ascii="Times New Roman" w:hAnsi="Times New Roman" w:eastAsia="楷体_GB2312"/>
          <w:bCs/>
          <w:color w:val="000000"/>
          <w:szCs w:val="32"/>
        </w:rPr>
        <w:t>第五节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科技支撑</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_Toc26660 </w:instrText>
      </w:r>
      <w:r>
        <w:rPr>
          <w:rFonts w:ascii="Times New Roman" w:hAnsi="Times New Roman"/>
          <w:color w:val="000000"/>
        </w:rPr>
        <w:fldChar w:fldCharType="separate"/>
      </w:r>
      <w:r>
        <w:rPr>
          <w:rFonts w:ascii="Times New Roman" w:hAnsi="Times New Roman"/>
          <w:color w:val="000000"/>
        </w:rPr>
        <w:t>- 66 -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ind w:left="31680"/>
        <w:rPr>
          <w:rFonts w:ascii="Times New Roman" w:hAnsi="Times New Roman"/>
          <w:color w:val="000000"/>
        </w:rPr>
      </w:pPr>
      <w:r>
        <w:fldChar w:fldCharType="begin"/>
      </w:r>
      <w:r>
        <w:instrText xml:space="preserve"> HYPERLINK \l "_Toc23433" </w:instrText>
      </w:r>
      <w:r>
        <w:fldChar w:fldCharType="separate"/>
      </w:r>
      <w:r>
        <w:rPr>
          <w:rFonts w:hint="eastAsia" w:ascii="Times New Roman" w:hAnsi="Times New Roman" w:eastAsia="楷体_GB2312"/>
          <w:bCs/>
          <w:color w:val="000000"/>
          <w:szCs w:val="32"/>
        </w:rPr>
        <w:t>第六节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监督考核</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_Toc23433 </w:instrText>
      </w:r>
      <w:r>
        <w:rPr>
          <w:rFonts w:ascii="Times New Roman" w:hAnsi="Times New Roman"/>
          <w:color w:val="000000"/>
        </w:rPr>
        <w:fldChar w:fldCharType="separate"/>
      </w:r>
      <w:r>
        <w:rPr>
          <w:rFonts w:ascii="Times New Roman" w:hAnsi="Times New Roman"/>
          <w:color w:val="000000"/>
        </w:rPr>
        <w:t>- 67 -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ind w:left="31680"/>
        <w:rPr>
          <w:rFonts w:ascii="Times New Roman" w:hAnsi="Times New Roman"/>
          <w:color w:val="000000"/>
        </w:rPr>
      </w:pPr>
      <w:r>
        <w:fldChar w:fldCharType="begin"/>
      </w:r>
      <w:r>
        <w:instrText xml:space="preserve"> HYPERLINK \l "_Toc14284" </w:instrText>
      </w:r>
      <w:r>
        <w:fldChar w:fldCharType="separate"/>
      </w:r>
      <w:r>
        <w:rPr>
          <w:rFonts w:hint="eastAsia" w:ascii="Times New Roman" w:hAnsi="Times New Roman" w:eastAsia="楷体_GB2312"/>
          <w:bCs/>
          <w:color w:val="000000"/>
          <w:szCs w:val="32"/>
        </w:rPr>
        <w:t>第七节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宣传引导</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_Toc14284 </w:instrText>
      </w:r>
      <w:r>
        <w:rPr>
          <w:rFonts w:ascii="Times New Roman" w:hAnsi="Times New Roman"/>
          <w:color w:val="000000"/>
        </w:rPr>
        <w:fldChar w:fldCharType="separate"/>
      </w:r>
      <w:r>
        <w:rPr>
          <w:rFonts w:ascii="Times New Roman" w:hAnsi="Times New Roman"/>
          <w:color w:val="000000"/>
        </w:rPr>
        <w:t>- 68 -</w:t>
      </w:r>
      <w:r>
        <w:rPr>
          <w:rFonts w:ascii="Times New Roman" w:hAnsi="Times New Roman"/>
          <w:color w:val="000000"/>
        </w:rPr>
        <w:fldChar w:fldCharType="end"/>
      </w:r>
      <w:r>
        <w:rPr>
          <w:rFonts w:ascii="Times New Roman" w:hAnsi="Times New Roman"/>
          <w:color w:val="000000"/>
        </w:rPr>
        <w:fldChar w:fldCharType="end"/>
      </w:r>
    </w:p>
    <w:p>
      <w:pPr>
        <w:rPr>
          <w:rFonts w:ascii="Times New Roman" w:hAnsi="Times New Roman" w:eastAsia="楷体_GB2312"/>
        </w:rPr>
      </w:pPr>
      <w:r>
        <w:rPr>
          <w:rFonts w:ascii="Times New Roman" w:hAnsi="Times New Roman"/>
          <w:color w:val="000000"/>
        </w:rPr>
        <w:fldChar w:fldCharType="end"/>
      </w:r>
      <w:bookmarkStart w:id="1" w:name="_Toc4425"/>
      <w:r>
        <w:rPr>
          <w:rFonts w:ascii="Times New Roman" w:hAnsi="Times New Roman" w:eastAsia="楷体_GB2312"/>
        </w:rPr>
        <w:fldChar w:fldCharType="begin"/>
      </w:r>
      <w:r>
        <w:rPr>
          <w:rFonts w:ascii="Times New Roman" w:hAnsi="Times New Roman" w:eastAsia="楷体_GB2312"/>
        </w:rPr>
        <w:instrText xml:space="preserve"> HYPERLINK \l _Toc19679 </w:instrText>
      </w:r>
      <w:r>
        <w:rPr>
          <w:rFonts w:ascii="Times New Roman" w:hAnsi="Times New Roman" w:eastAsia="楷体_GB2312"/>
        </w:rPr>
        <w:fldChar w:fldCharType="separate"/>
      </w:r>
      <w:r>
        <w:rPr>
          <w:rFonts w:hint="eastAsia" w:ascii="Times New Roman" w:hAnsi="Times New Roman" w:eastAsia="楷体_GB2312"/>
        </w:rPr>
        <w:t>附件：</w:t>
      </w:r>
      <w:r>
        <w:rPr>
          <w:rFonts w:ascii="Times New Roman" w:hAnsi="Times New Roman" w:eastAsia="楷体_GB2312"/>
        </w:rPr>
        <w:t>1.</w:t>
      </w:r>
      <w:r>
        <w:rPr>
          <w:rFonts w:hint="eastAsia" w:ascii="Times New Roman" w:hAnsi="Times New Roman" w:eastAsia="楷体_GB2312"/>
        </w:rPr>
        <w:t>全县秦岭生态环境保护范围村（社区）名单（</w:t>
      </w:r>
      <w:r>
        <w:rPr>
          <w:rFonts w:ascii="Times New Roman" w:hAnsi="Times New Roman" w:eastAsia="楷体_GB2312"/>
        </w:rPr>
        <w:t>247</w:t>
      </w:r>
      <w:r>
        <w:rPr>
          <w:rFonts w:hint="eastAsia" w:ascii="Times New Roman" w:hAnsi="Times New Roman" w:eastAsia="楷体_GB2312"/>
        </w:rPr>
        <w:t>个）</w:t>
      </w:r>
      <w:r>
        <w:rPr>
          <w:rFonts w:ascii="Times New Roman" w:hAnsi="Times New Roman" w:eastAsia="楷体_GB2312"/>
        </w:rPr>
        <w:tab/>
      </w:r>
      <w:r>
        <w:rPr>
          <w:rFonts w:ascii="Times New Roman" w:hAnsi="Times New Roman" w:eastAsia="楷体_GB2312"/>
        </w:rPr>
        <w:t>……………………………...</w:t>
      </w:r>
      <w:r>
        <w:rPr>
          <w:rFonts w:ascii="Times New Roman" w:hAnsi="Times New Roman" w:eastAsia="楷体_GB2312"/>
        </w:rPr>
        <w:fldChar w:fldCharType="begin"/>
      </w:r>
      <w:r>
        <w:rPr>
          <w:rFonts w:ascii="Times New Roman" w:hAnsi="Times New Roman" w:eastAsia="楷体_GB2312"/>
        </w:rPr>
        <w:instrText xml:space="preserve"> PAGEREF _Toc19679 </w:instrText>
      </w:r>
      <w:r>
        <w:rPr>
          <w:rFonts w:ascii="Times New Roman" w:hAnsi="Times New Roman" w:eastAsia="楷体_GB2312"/>
        </w:rPr>
        <w:fldChar w:fldCharType="separate"/>
      </w:r>
      <w:r>
        <w:rPr>
          <w:rFonts w:ascii="Times New Roman" w:hAnsi="Times New Roman" w:eastAsia="楷体_GB2312"/>
        </w:rPr>
        <w:t xml:space="preserve">- </w:t>
      </w:r>
      <w:r>
        <w:rPr>
          <w:rFonts w:hint="eastAsia" w:ascii="Times New Roman" w:hAnsi="Times New Roman" w:eastAsia="楷体_GB2312"/>
          <w:lang w:val="en-US" w:eastAsia="zh-CN"/>
        </w:rPr>
        <w:t>70</w:t>
      </w:r>
      <w:r>
        <w:rPr>
          <w:rFonts w:ascii="Times New Roman" w:hAnsi="Times New Roman" w:eastAsia="楷体_GB2312"/>
        </w:rPr>
        <w:t xml:space="preserve"> -</w:t>
      </w:r>
      <w:r>
        <w:rPr>
          <w:rFonts w:ascii="Times New Roman" w:hAnsi="Times New Roman" w:eastAsia="楷体_GB2312"/>
        </w:rPr>
        <w:fldChar w:fldCharType="end"/>
      </w:r>
      <w:r>
        <w:rPr>
          <w:rFonts w:ascii="Times New Roman" w:hAnsi="Times New Roman" w:eastAsia="楷体_GB2312"/>
        </w:rPr>
        <w:fldChar w:fldCharType="end"/>
      </w:r>
    </w:p>
    <w:p>
      <w:pPr>
        <w:pStyle w:val="6"/>
        <w:tabs>
          <w:tab w:val="right" w:leader="dot" w:pos="8844"/>
        </w:tabs>
        <w:spacing w:line="320" w:lineRule="exact"/>
        <w:ind w:left="31680" w:firstLine="210" w:firstLineChars="100"/>
        <w:rPr>
          <w:rFonts w:ascii="Times New Roman" w:hAnsi="Times New Roman" w:eastAsia="楷体_GB2312"/>
          <w:bCs/>
          <w:color w:val="000000"/>
          <w:szCs w:val="32"/>
        </w:rPr>
      </w:pPr>
      <w:r>
        <w:fldChar w:fldCharType="begin"/>
      </w:r>
      <w:r>
        <w:instrText xml:space="preserve"> HYPERLINK \l "_Toc26755" </w:instrText>
      </w:r>
      <w:r>
        <w:fldChar w:fldCharType="separate"/>
      </w:r>
      <w:r>
        <w:rPr>
          <w:rFonts w:ascii="Times New Roman" w:hAnsi="Times New Roman" w:eastAsia="楷体_GB2312"/>
          <w:bCs/>
          <w:color w:val="000000"/>
          <w:szCs w:val="32"/>
        </w:rPr>
        <w:t>2.</w:t>
      </w:r>
      <w:r>
        <w:rPr>
          <w:rFonts w:hint="eastAsia" w:ascii="Times New Roman" w:eastAsia="楷体_GB2312"/>
          <w:bCs/>
          <w:color w:val="000000"/>
          <w:szCs w:val="32"/>
        </w:rPr>
        <w:t>洛南县秦岭生态环境保护方案分区保护示意图</w:t>
      </w:r>
      <w:r>
        <w:rPr>
          <w:rFonts w:ascii="Times New Roman" w:hAnsi="Times New Roman" w:eastAsia="楷体_GB2312"/>
          <w:bCs/>
          <w:color w:val="000000"/>
          <w:szCs w:val="32"/>
        </w:rPr>
        <w:t>…………………………………………</w:t>
      </w:r>
      <w:r>
        <w:rPr>
          <w:rFonts w:ascii="Times New Roman" w:hAnsi="Times New Roman" w:eastAsia="楷体_GB2312"/>
          <w:bCs/>
          <w:color w:val="000000"/>
          <w:szCs w:val="32"/>
        </w:rPr>
        <w:fldChar w:fldCharType="begin"/>
      </w:r>
      <w:r>
        <w:rPr>
          <w:rFonts w:ascii="Times New Roman" w:hAnsi="Times New Roman" w:eastAsia="楷体_GB2312"/>
          <w:bCs/>
          <w:color w:val="000000"/>
          <w:szCs w:val="32"/>
        </w:rPr>
        <w:instrText xml:space="preserve"> PAGEREF _Toc26755 </w:instrText>
      </w:r>
      <w:r>
        <w:rPr>
          <w:rFonts w:ascii="Times New Roman" w:hAnsi="Times New Roman" w:eastAsia="楷体_GB2312"/>
          <w:bCs/>
          <w:color w:val="000000"/>
          <w:szCs w:val="32"/>
        </w:rPr>
        <w:fldChar w:fldCharType="separate"/>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lang w:val="en-US" w:eastAsia="zh-CN"/>
        </w:rPr>
        <w:t>72</w:t>
      </w:r>
      <w:r>
        <w:rPr>
          <w:rFonts w:ascii="Times New Roman" w:hAnsi="Times New Roman" w:eastAsia="楷体_GB2312"/>
          <w:bCs/>
          <w:color w:val="000000"/>
          <w:szCs w:val="32"/>
        </w:rPr>
        <w:t xml:space="preserve"> -</w:t>
      </w:r>
      <w:r>
        <w:rPr>
          <w:rFonts w:ascii="Times New Roman" w:hAnsi="Times New Roman" w:eastAsia="楷体_GB2312"/>
          <w:bCs/>
          <w:color w:val="000000"/>
          <w:szCs w:val="32"/>
        </w:rPr>
        <w:fldChar w:fldCharType="end"/>
      </w:r>
      <w:r>
        <w:rPr>
          <w:rFonts w:ascii="Times New Roman" w:hAnsi="Times New Roman" w:eastAsia="楷体_GB2312"/>
          <w:bCs/>
          <w:color w:val="000000"/>
          <w:szCs w:val="32"/>
        </w:rPr>
        <w:fldChar w:fldCharType="end"/>
      </w:r>
    </w:p>
    <w:p>
      <w:pPr>
        <w:pStyle w:val="6"/>
        <w:tabs>
          <w:tab w:val="right" w:leader="dot" w:pos="8844"/>
        </w:tabs>
        <w:spacing w:line="320" w:lineRule="exact"/>
        <w:ind w:left="31680" w:firstLine="210" w:firstLineChars="100"/>
        <w:rPr>
          <w:rFonts w:ascii="Times New Roman" w:hAnsi="Times New Roman" w:eastAsia="楷体_GB2312"/>
          <w:bCs/>
          <w:color w:val="000000"/>
          <w:szCs w:val="32"/>
        </w:rPr>
      </w:pPr>
      <w:r>
        <w:fldChar w:fldCharType="begin"/>
      </w:r>
      <w:r>
        <w:instrText xml:space="preserve"> HYPERLINK \l "_Toc15278" </w:instrText>
      </w:r>
      <w:r>
        <w:fldChar w:fldCharType="separate"/>
      </w:r>
      <w:r>
        <w:rPr>
          <w:rFonts w:ascii="Times New Roman" w:hAnsi="Times New Roman" w:eastAsia="楷体_GB2312"/>
          <w:bCs/>
          <w:color w:val="000000"/>
          <w:szCs w:val="32"/>
        </w:rPr>
        <w:t>3.</w:t>
      </w:r>
      <w:r>
        <w:rPr>
          <w:rFonts w:hint="eastAsia" w:ascii="Times New Roman" w:eastAsia="楷体_GB2312"/>
          <w:bCs/>
          <w:color w:val="000000"/>
          <w:szCs w:val="32"/>
        </w:rPr>
        <w:t>洛南县核心保护区保护示意图</w:t>
      </w:r>
      <w:r>
        <w:rPr>
          <w:rFonts w:ascii="Times New Roman" w:hAnsi="Times New Roman" w:eastAsia="楷体_GB2312"/>
          <w:bCs/>
          <w:color w:val="000000"/>
          <w:szCs w:val="32"/>
        </w:rPr>
        <w:t>……………………………………………………………</w:t>
      </w:r>
      <w:r>
        <w:rPr>
          <w:rFonts w:ascii="Times New Roman" w:hAnsi="Times New Roman" w:eastAsia="楷体_GB2312"/>
          <w:bCs/>
          <w:color w:val="000000"/>
          <w:szCs w:val="32"/>
        </w:rPr>
        <w:fldChar w:fldCharType="begin"/>
      </w:r>
      <w:r>
        <w:rPr>
          <w:rFonts w:ascii="Times New Roman" w:hAnsi="Times New Roman" w:eastAsia="楷体_GB2312"/>
          <w:bCs/>
          <w:color w:val="000000"/>
          <w:szCs w:val="32"/>
        </w:rPr>
        <w:instrText xml:space="preserve"> PAGEREF _Toc15278 </w:instrText>
      </w:r>
      <w:r>
        <w:rPr>
          <w:rFonts w:ascii="Times New Roman" w:hAnsi="Times New Roman" w:eastAsia="楷体_GB2312"/>
          <w:bCs/>
          <w:color w:val="000000"/>
          <w:szCs w:val="32"/>
        </w:rPr>
        <w:fldChar w:fldCharType="separate"/>
      </w:r>
      <w:r>
        <w:rPr>
          <w:rFonts w:ascii="Times New Roman" w:hAnsi="Times New Roman" w:eastAsia="楷体_GB2312"/>
          <w:bCs/>
          <w:color w:val="000000"/>
          <w:szCs w:val="32"/>
        </w:rPr>
        <w:t>-</w:t>
      </w:r>
      <w:r>
        <w:rPr>
          <w:rFonts w:hint="eastAsia" w:ascii="Times New Roman" w:hAnsi="Times New Roman" w:eastAsia="楷体_GB2312"/>
          <w:bCs/>
          <w:color w:val="000000"/>
          <w:szCs w:val="32"/>
          <w:lang w:val="en-US" w:eastAsia="zh-CN"/>
        </w:rPr>
        <w:t>73</w:t>
      </w:r>
      <w:r>
        <w:rPr>
          <w:rFonts w:ascii="Times New Roman" w:hAnsi="Times New Roman" w:eastAsia="楷体_GB2312"/>
          <w:bCs/>
          <w:color w:val="000000"/>
          <w:szCs w:val="32"/>
        </w:rPr>
        <w:t xml:space="preserve"> -</w:t>
      </w:r>
      <w:r>
        <w:rPr>
          <w:rFonts w:ascii="Times New Roman" w:hAnsi="Times New Roman" w:eastAsia="楷体_GB2312"/>
          <w:bCs/>
          <w:color w:val="000000"/>
          <w:szCs w:val="32"/>
        </w:rPr>
        <w:fldChar w:fldCharType="end"/>
      </w:r>
      <w:r>
        <w:rPr>
          <w:rFonts w:ascii="Times New Roman" w:hAnsi="Times New Roman" w:eastAsia="楷体_GB2312"/>
          <w:bCs/>
          <w:color w:val="000000"/>
          <w:szCs w:val="32"/>
        </w:rPr>
        <w:fldChar w:fldCharType="end"/>
      </w:r>
    </w:p>
    <w:p>
      <w:pPr>
        <w:pStyle w:val="6"/>
        <w:tabs>
          <w:tab w:val="right" w:leader="dot" w:pos="8844"/>
        </w:tabs>
        <w:spacing w:line="320" w:lineRule="exact"/>
        <w:ind w:left="31680" w:firstLine="210" w:firstLineChars="100"/>
        <w:rPr>
          <w:rFonts w:ascii="Times New Roman" w:hAnsi="Times New Roman" w:eastAsia="楷体_GB2312"/>
          <w:bCs/>
          <w:color w:val="000000"/>
          <w:szCs w:val="32"/>
        </w:rPr>
      </w:pPr>
      <w:r>
        <w:fldChar w:fldCharType="begin"/>
      </w:r>
      <w:r>
        <w:instrText xml:space="preserve"> HYPERLINK \l "_Toc27610" </w:instrText>
      </w:r>
      <w:r>
        <w:fldChar w:fldCharType="separate"/>
      </w:r>
      <w:r>
        <w:rPr>
          <w:rFonts w:ascii="Times New Roman" w:hAnsi="Times New Roman" w:eastAsia="楷体_GB2312"/>
          <w:bCs/>
          <w:color w:val="000000"/>
          <w:szCs w:val="32"/>
        </w:rPr>
        <w:t>4.</w:t>
      </w:r>
      <w:r>
        <w:rPr>
          <w:rFonts w:hint="eastAsia" w:ascii="Times New Roman" w:eastAsia="楷体_GB2312"/>
          <w:bCs/>
          <w:color w:val="000000"/>
          <w:szCs w:val="32"/>
        </w:rPr>
        <w:t>洛南县重点保护区保护示意图</w:t>
      </w:r>
      <w:r>
        <w:rPr>
          <w:rFonts w:ascii="Times New Roman" w:hAnsi="Times New Roman" w:eastAsia="楷体_GB2312"/>
          <w:bCs/>
          <w:color w:val="000000"/>
          <w:szCs w:val="32"/>
        </w:rPr>
        <w:t>……………………………………………………………</w:t>
      </w:r>
      <w:r>
        <w:rPr>
          <w:rFonts w:ascii="Times New Roman" w:hAnsi="Times New Roman" w:eastAsia="楷体_GB2312"/>
          <w:bCs/>
          <w:color w:val="000000"/>
          <w:szCs w:val="32"/>
        </w:rPr>
        <w:fldChar w:fldCharType="begin"/>
      </w:r>
      <w:r>
        <w:rPr>
          <w:rFonts w:ascii="Times New Roman" w:hAnsi="Times New Roman" w:eastAsia="楷体_GB2312"/>
          <w:bCs/>
          <w:color w:val="000000"/>
          <w:szCs w:val="32"/>
        </w:rPr>
        <w:instrText xml:space="preserve"> PAGEREF _Toc27610 </w:instrText>
      </w:r>
      <w:r>
        <w:rPr>
          <w:rFonts w:ascii="Times New Roman" w:hAnsi="Times New Roman" w:eastAsia="楷体_GB2312"/>
          <w:bCs/>
          <w:color w:val="000000"/>
          <w:szCs w:val="32"/>
        </w:rPr>
        <w:fldChar w:fldCharType="separate"/>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lang w:val="en-US" w:eastAsia="zh-CN"/>
        </w:rPr>
        <w:t>74</w:t>
      </w:r>
      <w:r>
        <w:rPr>
          <w:rFonts w:ascii="Times New Roman" w:hAnsi="Times New Roman" w:eastAsia="楷体_GB2312"/>
          <w:bCs/>
          <w:color w:val="000000"/>
          <w:szCs w:val="32"/>
        </w:rPr>
        <w:t xml:space="preserve"> -</w:t>
      </w:r>
      <w:r>
        <w:rPr>
          <w:rFonts w:ascii="Times New Roman" w:hAnsi="Times New Roman" w:eastAsia="楷体_GB2312"/>
          <w:bCs/>
          <w:color w:val="000000"/>
          <w:szCs w:val="32"/>
        </w:rPr>
        <w:fldChar w:fldCharType="end"/>
      </w:r>
      <w:r>
        <w:rPr>
          <w:rFonts w:ascii="Times New Roman" w:hAnsi="Times New Roman" w:eastAsia="楷体_GB2312"/>
          <w:bCs/>
          <w:color w:val="000000"/>
          <w:szCs w:val="32"/>
        </w:rPr>
        <w:fldChar w:fldCharType="end"/>
      </w:r>
    </w:p>
    <w:p>
      <w:pPr>
        <w:rPr>
          <w:rFonts w:ascii="Times New Roman" w:hAnsi="Times New Roman" w:eastAsia="楷体_GB2312"/>
          <w:color w:val="000000"/>
        </w:rPr>
        <w:sectPr>
          <w:footerReference r:id="rId5" w:type="default"/>
          <w:pgSz w:w="11906" w:h="16838"/>
          <w:pgMar w:top="1984" w:right="1531" w:bottom="1587" w:left="1531" w:header="851" w:footer="1247" w:gutter="0"/>
          <w:pgNumType w:fmt="numberInDash"/>
          <w:cols w:space="425" w:num="1"/>
          <w:docGrid w:type="lines" w:linePitch="315" w:charSpace="0"/>
        </w:sectPr>
      </w:pPr>
    </w:p>
    <w:p>
      <w:pPr>
        <w:jc w:val="center"/>
        <w:rPr>
          <w:rFonts w:ascii="Times New Roman" w:hAnsi="Times New Roman" w:eastAsia="黑体"/>
          <w:b/>
          <w:color w:val="000000"/>
          <w:sz w:val="36"/>
          <w:szCs w:val="36"/>
        </w:rPr>
      </w:pPr>
      <w:r>
        <w:rPr>
          <w:rFonts w:hint="eastAsia" w:ascii="Times New Roman" w:hAnsi="Times New Roman" w:eastAsia="黑体"/>
          <w:b/>
          <w:color w:val="000000"/>
          <w:sz w:val="36"/>
          <w:szCs w:val="36"/>
        </w:rPr>
        <w:t>前</w:t>
      </w:r>
      <w:r>
        <w:rPr>
          <w:rFonts w:ascii="Times New Roman" w:hAnsi="Times New Roman" w:eastAsia="黑体"/>
          <w:b/>
          <w:color w:val="000000"/>
          <w:sz w:val="36"/>
          <w:szCs w:val="36"/>
        </w:rPr>
        <w:t xml:space="preserve">   </w:t>
      </w:r>
      <w:r>
        <w:rPr>
          <w:rFonts w:hint="eastAsia" w:ascii="Times New Roman" w:hAnsi="Times New Roman" w:eastAsia="黑体"/>
          <w:b/>
          <w:color w:val="000000"/>
          <w:sz w:val="36"/>
          <w:szCs w:val="36"/>
        </w:rPr>
        <w:t>言</w:t>
      </w:r>
      <w:bookmarkEnd w:id="0"/>
      <w:bookmarkEnd w:id="1"/>
    </w:p>
    <w:p>
      <w:pPr>
        <w:tabs>
          <w:tab w:val="right" w:leader="middleDot" w:pos="8340"/>
        </w:tabs>
        <w:spacing w:line="606" w:lineRule="exact"/>
        <w:ind w:firstLine="1318" w:firstLineChars="412"/>
        <w:rPr>
          <w:rFonts w:ascii="Times New Roman" w:hAnsi="Times New Roman" w:eastAsia="仿宋_GB2312"/>
          <w:color w:val="000000"/>
          <w:sz w:val="32"/>
          <w:szCs w:val="32"/>
        </w:rPr>
      </w:pPr>
    </w:p>
    <w:p>
      <w:pPr>
        <w:spacing w:line="52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秦岭和合南北、泽被天下，是我国的中央水塔，是中华民族的祖脉和中华文化的重要象征。保护好秦岭生态环境，对确保中华民族长盛不衰、实现</w:t>
      </w:r>
      <w:r>
        <w:rPr>
          <w:rFonts w:hint="eastAsia" w:ascii="Times New Roman" w:hAnsi="Times New Roman" w:eastAsia="仿宋_GB2312"/>
          <w:color w:val="000000"/>
          <w:sz w:val="32"/>
          <w:szCs w:val="32"/>
          <w:lang w:eastAsia="zh-CN"/>
        </w:rPr>
        <w:t>“两个一百年”奋斗目标</w:t>
      </w:r>
      <w:r>
        <w:rPr>
          <w:rFonts w:hint="eastAsia" w:ascii="Times New Roman" w:hAnsi="Times New Roman" w:eastAsia="仿宋_GB2312"/>
          <w:color w:val="000000"/>
          <w:sz w:val="32"/>
          <w:szCs w:val="32"/>
        </w:rPr>
        <w:t>、实现可持续发展具有十分重大而深远的意义。洛南地处秦岭东段南麓，全域处于秦岭保护区内，保护秦岭生态环境责任重大，使命光荣。</w:t>
      </w:r>
    </w:p>
    <w:p>
      <w:pPr>
        <w:spacing w:line="52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党的十八大以来，习近平总书记高度重视秦岭生态环境保护。</w:t>
      </w:r>
      <w:r>
        <w:rPr>
          <w:rFonts w:ascii="Times New Roman" w:hAnsi="Times New Roman" w:eastAsia="仿宋_GB2312"/>
          <w:color w:val="000000"/>
          <w:sz w:val="32"/>
          <w:szCs w:val="32"/>
        </w:rPr>
        <w:t>2014</w:t>
      </w:r>
      <w:r>
        <w:rPr>
          <w:rFonts w:hint="eastAsia" w:ascii="Times New Roman" w:hAnsi="Times New Roman" w:eastAsia="仿宋_GB2312"/>
          <w:color w:val="000000"/>
          <w:sz w:val="32"/>
          <w:szCs w:val="32"/>
        </w:rPr>
        <w:t>年</w:t>
      </w:r>
      <w:r>
        <w:rPr>
          <w:rFonts w:ascii="Times New Roman" w:hAnsi="Times New Roman" w:eastAsia="仿宋_GB2312"/>
          <w:color w:val="000000"/>
          <w:sz w:val="32"/>
          <w:szCs w:val="32"/>
        </w:rPr>
        <w:t>5</w:t>
      </w:r>
      <w:r>
        <w:rPr>
          <w:rFonts w:hint="eastAsia" w:ascii="Times New Roman" w:hAnsi="Times New Roman" w:eastAsia="仿宋_GB2312"/>
          <w:color w:val="000000"/>
          <w:sz w:val="32"/>
          <w:szCs w:val="32"/>
        </w:rPr>
        <w:t>月以来，习近平总书记多次就秦岭生态环境保护作出重要指示批示。</w:t>
      </w:r>
      <w:r>
        <w:rPr>
          <w:rFonts w:ascii="Times New Roman" w:hAnsi="Times New Roman" w:eastAsia="仿宋_GB2312"/>
          <w:color w:val="000000"/>
          <w:sz w:val="32"/>
          <w:szCs w:val="32"/>
        </w:rPr>
        <w:t>2020</w:t>
      </w:r>
      <w:r>
        <w:rPr>
          <w:rFonts w:hint="eastAsia" w:ascii="Times New Roman" w:hAnsi="Times New Roman" w:eastAsia="仿宋_GB2312"/>
          <w:color w:val="000000"/>
          <w:sz w:val="32"/>
          <w:szCs w:val="32"/>
        </w:rPr>
        <w:t>年</w:t>
      </w:r>
      <w:r>
        <w:rPr>
          <w:rFonts w:ascii="Times New Roman" w:hAnsi="Times New Roman" w:eastAsia="仿宋_GB2312"/>
          <w:color w:val="000000"/>
          <w:sz w:val="32"/>
          <w:szCs w:val="32"/>
        </w:rPr>
        <w:t>4</w:t>
      </w:r>
      <w:r>
        <w:rPr>
          <w:rFonts w:hint="eastAsia" w:ascii="Times New Roman" w:hAnsi="Times New Roman" w:eastAsia="仿宋_GB2312"/>
          <w:color w:val="000000"/>
          <w:sz w:val="32"/>
          <w:szCs w:val="32"/>
        </w:rPr>
        <w:t>月，习近平总书记在陕西考察柞水牛背梁国家级自然保护区时指出，对国之大者要心中有数，关注党中央在关心什么、强调什么，深刻领会什么是党和国家最重要的利益、什么是最需要坚定维护的立场。习近平总书记强调，秦岭违建别墅是一个大教训，从今往后，在陕西当干部，首先要了解这个教训，切勿重蹈覆辙，切实做守护秦岭生态的卫士。习近平总书记的重要指示批示精神为秦岭生态环境保护工作指明了方向，提供了根本遵循。</w:t>
      </w:r>
    </w:p>
    <w:p>
      <w:pPr>
        <w:spacing w:line="52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洛南县秦岭生态环境保护方案》（以下简称《方案》）是指导全县秦岭生态环境保护的纲领性文件，编制《方案》是落实习近平总书记来陕考察重要讲话重要指示精神的重要体现，也是各相关行政主管部门组织编制秦岭生态环境保护专项规划，制定政策措施和生态环境保护重要工程项目的重要依据。《方案》期至</w:t>
      </w:r>
      <w:r>
        <w:rPr>
          <w:rFonts w:ascii="Times New Roman" w:hAnsi="Times New Roman" w:eastAsia="仿宋_GB2312"/>
          <w:color w:val="000000"/>
          <w:sz w:val="32"/>
          <w:szCs w:val="32"/>
        </w:rPr>
        <w:t>2025</w:t>
      </w:r>
      <w:r>
        <w:rPr>
          <w:rFonts w:hint="eastAsia" w:ascii="Times New Roman" w:hAnsi="Times New Roman" w:eastAsia="仿宋_GB2312"/>
          <w:color w:val="000000"/>
          <w:sz w:val="32"/>
          <w:szCs w:val="32"/>
        </w:rPr>
        <w:t>年，展望至</w:t>
      </w:r>
      <w:r>
        <w:rPr>
          <w:rFonts w:ascii="Times New Roman" w:hAnsi="Times New Roman" w:eastAsia="仿宋_GB2312"/>
          <w:color w:val="000000"/>
          <w:sz w:val="32"/>
          <w:szCs w:val="32"/>
        </w:rPr>
        <w:t>2035</w:t>
      </w:r>
      <w:r>
        <w:rPr>
          <w:rFonts w:hint="eastAsia" w:ascii="Times New Roman" w:hAnsi="Times New Roman" w:eastAsia="仿宋_GB2312"/>
          <w:color w:val="000000"/>
          <w:sz w:val="32"/>
          <w:szCs w:val="32"/>
        </w:rPr>
        <w:t>年。</w:t>
      </w:r>
    </w:p>
    <w:p>
      <w:pPr>
        <w:spacing w:line="640" w:lineRule="atLeast"/>
        <w:ind w:firstLine="640" w:firstLineChars="200"/>
        <w:rPr>
          <w:rFonts w:ascii="Times New Roman" w:hAnsi="Times New Roman" w:eastAsia="仿宋_GB2312"/>
          <w:color w:val="000000"/>
          <w:sz w:val="32"/>
          <w:szCs w:val="32"/>
        </w:rPr>
        <w:sectPr>
          <w:headerReference r:id="rId6" w:type="default"/>
          <w:footerReference r:id="rId7" w:type="default"/>
          <w:pgSz w:w="11906" w:h="16838"/>
          <w:pgMar w:top="1984" w:right="1531" w:bottom="1587" w:left="1531" w:header="851" w:footer="1247" w:gutter="0"/>
          <w:pgNumType w:fmt="numberInDash" w:start="1"/>
          <w:cols w:space="720" w:num="1"/>
          <w:docGrid w:type="lines" w:linePitch="315" w:charSpace="0"/>
        </w:sectPr>
      </w:pPr>
    </w:p>
    <w:p>
      <w:pPr>
        <w:spacing w:line="560" w:lineRule="exact"/>
        <w:jc w:val="center"/>
        <w:outlineLvl w:val="0"/>
        <w:rPr>
          <w:rFonts w:ascii="Times New Roman" w:hAnsi="Times New Roman" w:eastAsia="黑体"/>
          <w:bCs/>
          <w:color w:val="000000"/>
          <w:sz w:val="32"/>
          <w:szCs w:val="32"/>
        </w:rPr>
      </w:pPr>
      <w:bookmarkStart w:id="2" w:name="_Toc16838"/>
      <w:bookmarkStart w:id="3" w:name="_Toc8618"/>
      <w:bookmarkStart w:id="4" w:name="_Toc18184"/>
      <w:r>
        <w:rPr>
          <w:rFonts w:hint="eastAsia" w:ascii="Times New Roman" w:hAnsi="Times New Roman" w:eastAsia="黑体"/>
          <w:bCs/>
          <w:color w:val="000000"/>
          <w:sz w:val="32"/>
          <w:szCs w:val="32"/>
        </w:rPr>
        <w:t>第一章</w:t>
      </w:r>
      <w:r>
        <w:rPr>
          <w:rFonts w:ascii="Times New Roman" w:hAnsi="Times New Roman" w:eastAsia="黑体"/>
          <w:bCs/>
          <w:color w:val="000000"/>
          <w:sz w:val="32"/>
          <w:szCs w:val="32"/>
        </w:rPr>
        <w:t xml:space="preserve"> </w:t>
      </w:r>
      <w:r>
        <w:rPr>
          <w:rFonts w:hint="eastAsia" w:ascii="Times New Roman" w:hAnsi="Times New Roman" w:eastAsia="黑体"/>
          <w:bCs/>
          <w:color w:val="000000"/>
          <w:sz w:val="32"/>
          <w:szCs w:val="32"/>
        </w:rPr>
        <w:t>方案编制背景</w:t>
      </w:r>
      <w:bookmarkEnd w:id="2"/>
      <w:bookmarkEnd w:id="3"/>
      <w:bookmarkEnd w:id="4"/>
    </w:p>
    <w:p>
      <w:pPr>
        <w:spacing w:line="560" w:lineRule="exact"/>
        <w:ind w:firstLine="640" w:firstLineChars="200"/>
        <w:rPr>
          <w:rFonts w:ascii="Times New Roman" w:hAnsi="Times New Roman" w:eastAsia="仿宋_GB2312"/>
          <w:color w:val="000000"/>
          <w:sz w:val="32"/>
          <w:szCs w:val="32"/>
        </w:rPr>
      </w:pP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秦岭是我国南北气候与地理的分界线和重要的生态安全屏障，具有调节气候、保持水土、涵养水源、维护生物多样性等诸多功能，是中华文明、中华地理的精神标识和自然标识，在我国自然生态环境中具有重要地位。</w:t>
      </w:r>
      <w:r>
        <w:rPr>
          <w:rFonts w:ascii="Times New Roman" w:hAnsi="Times New Roman" w:eastAsia="仿宋_GB2312"/>
          <w:color w:val="000000"/>
          <w:sz w:val="32"/>
          <w:szCs w:val="32"/>
        </w:rPr>
        <w:t>2020</w:t>
      </w:r>
      <w:r>
        <w:rPr>
          <w:rFonts w:hint="eastAsia" w:ascii="Times New Roman" w:hAnsi="Times New Roman" w:eastAsia="仿宋_GB2312"/>
          <w:color w:val="000000"/>
          <w:sz w:val="32"/>
          <w:szCs w:val="32"/>
        </w:rPr>
        <w:t>年</w:t>
      </w:r>
      <w:r>
        <w:rPr>
          <w:rFonts w:ascii="Times New Roman" w:hAnsi="Times New Roman" w:eastAsia="仿宋_GB2312"/>
          <w:color w:val="000000"/>
          <w:sz w:val="32"/>
          <w:szCs w:val="32"/>
        </w:rPr>
        <w:t>4</w:t>
      </w:r>
      <w:r>
        <w:rPr>
          <w:rFonts w:hint="eastAsia" w:ascii="Times New Roman" w:hAnsi="Times New Roman" w:eastAsia="仿宋_GB2312"/>
          <w:color w:val="000000"/>
          <w:sz w:val="32"/>
          <w:szCs w:val="32"/>
        </w:rPr>
        <w:t>月，习近平总书记在陕西考察时强调，要把秦岭生态环境保护和修复工作摆上重要位置，履行好职责，当好秦岭生态卫士，让秦岭的美景永驻、青山常在、绿水长流。</w:t>
      </w:r>
    </w:p>
    <w:p>
      <w:pPr>
        <w:spacing w:line="560" w:lineRule="exact"/>
        <w:ind w:firstLine="640" w:firstLineChars="200"/>
        <w:rPr>
          <w:rFonts w:ascii="Times New Roman" w:hAnsi="Times New Roman" w:eastAsia="仿宋_GB2312"/>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5" w:name="_Toc15386"/>
      <w:bookmarkStart w:id="6" w:name="_Toc31615"/>
      <w:bookmarkStart w:id="7" w:name="_Toc9961"/>
      <w:r>
        <w:rPr>
          <w:rFonts w:hint="eastAsia" w:ascii="Times New Roman" w:hAnsi="Times New Roman" w:eastAsia="楷体_GB2312"/>
          <w:b/>
          <w:bCs/>
          <w:color w:val="000000"/>
          <w:sz w:val="32"/>
          <w:szCs w:val="32"/>
        </w:rPr>
        <w:t>第一节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保护历程</w:t>
      </w:r>
      <w:bookmarkEnd w:id="5"/>
      <w:bookmarkEnd w:id="6"/>
      <w:bookmarkEnd w:id="7"/>
    </w:p>
    <w:p>
      <w:pPr>
        <w:spacing w:line="560" w:lineRule="exact"/>
        <w:ind w:firstLine="640" w:firstLineChars="200"/>
        <w:rPr>
          <w:rFonts w:ascii="Times New Roman" w:hAnsi="Times New Roman" w:eastAsia="仿宋_GB2312"/>
          <w:color w:val="000000"/>
          <w:spacing w:val="-2"/>
          <w:sz w:val="32"/>
          <w:szCs w:val="32"/>
        </w:rPr>
      </w:pPr>
      <w:r>
        <w:rPr>
          <w:rFonts w:hint="eastAsia" w:ascii="Times New Roman" w:hAnsi="Times New Roman" w:eastAsia="仿宋_GB2312"/>
          <w:color w:val="000000"/>
          <w:sz w:val="32"/>
          <w:szCs w:val="32"/>
        </w:rPr>
        <w:t>秦岭是我国古人类和古文化的重要发祥地之一。在漫长的历史发展过程中，秦岭在提供生态屏障的同时，还哺育了中华文化。上古时期的炎帝、黄帝、伏羲等中华民族的先祖们曾长期在秦岭北麓活动，周秦汉唐等</w:t>
      </w:r>
      <w:r>
        <w:rPr>
          <w:rFonts w:ascii="Times New Roman" w:hAnsi="Times New Roman" w:eastAsia="仿宋_GB2312"/>
          <w:color w:val="000000"/>
          <w:sz w:val="32"/>
          <w:szCs w:val="32"/>
        </w:rPr>
        <w:t>13</w:t>
      </w:r>
      <w:r>
        <w:rPr>
          <w:rFonts w:hint="eastAsia" w:ascii="Times New Roman" w:hAnsi="Times New Roman" w:eastAsia="仿宋_GB2312"/>
          <w:color w:val="000000"/>
          <w:sz w:val="32"/>
          <w:szCs w:val="32"/>
        </w:rPr>
        <w:t>个王朝先后在此建都，古丝绸之路从这里出发，《诗经》《史记》《汉书》等经典著作和汉字、造纸等伟大创造滥觞于此。春秋战国之前，秦岭植被保持着完整的原始状态。在之后的历朝历代，秦岭森林资源遭到不同程度的破坏，森林覆盖面积骤减。新中国成立以来，秦岭森林、矿产、生物等资源为全国经济社会发展做出重要贡献，但也造成秦岭林线升高、自然灾害频发等问题。改革开放以来，秦岭生态环境保护工作取得积极进展，</w:t>
      </w:r>
      <w:r>
        <w:rPr>
          <w:rFonts w:ascii="Times New Roman" w:hAnsi="Times New Roman" w:eastAsia="仿宋_GB2312"/>
          <w:color w:val="000000"/>
          <w:sz w:val="32"/>
          <w:szCs w:val="32"/>
        </w:rPr>
        <w:t>1998</w:t>
      </w:r>
      <w:r>
        <w:rPr>
          <w:rFonts w:hint="eastAsia" w:ascii="Times New Roman" w:hAnsi="Times New Roman" w:eastAsia="仿宋_GB2312"/>
          <w:color w:val="000000"/>
          <w:sz w:val="32"/>
          <w:szCs w:val="32"/>
        </w:rPr>
        <w:t>年陕西省全境停止天然林商品性采伐，秦岭生态环境逐步得</w:t>
      </w:r>
      <w:r>
        <w:rPr>
          <w:rFonts w:hint="eastAsia" w:ascii="Times New Roman" w:hAnsi="Times New Roman" w:eastAsia="仿宋_GB2312"/>
          <w:color w:val="000000"/>
          <w:spacing w:val="7"/>
          <w:sz w:val="32"/>
          <w:szCs w:val="32"/>
        </w:rPr>
        <w:t>到休养生息。</w:t>
      </w:r>
      <w:r>
        <w:rPr>
          <w:rFonts w:ascii="Times New Roman" w:hAnsi="Times New Roman" w:eastAsia="仿宋_GB2312"/>
          <w:color w:val="000000"/>
          <w:spacing w:val="7"/>
          <w:sz w:val="32"/>
          <w:szCs w:val="32"/>
        </w:rPr>
        <w:t>2008</w:t>
      </w:r>
      <w:r>
        <w:rPr>
          <w:rFonts w:hint="eastAsia" w:ascii="Times New Roman" w:hAnsi="Times New Roman" w:eastAsia="仿宋_GB2312"/>
          <w:color w:val="000000"/>
          <w:spacing w:val="7"/>
          <w:sz w:val="32"/>
          <w:szCs w:val="32"/>
        </w:rPr>
        <w:t>年</w:t>
      </w:r>
      <w:r>
        <w:rPr>
          <w:rFonts w:ascii="Times New Roman" w:hAnsi="Times New Roman" w:eastAsia="仿宋_GB2312"/>
          <w:color w:val="000000"/>
          <w:spacing w:val="7"/>
          <w:sz w:val="32"/>
          <w:szCs w:val="32"/>
        </w:rPr>
        <w:t>3</w:t>
      </w:r>
      <w:r>
        <w:rPr>
          <w:rFonts w:hint="eastAsia" w:ascii="Times New Roman" w:hAnsi="Times New Roman" w:eastAsia="仿宋_GB2312"/>
          <w:color w:val="000000"/>
          <w:spacing w:val="7"/>
          <w:sz w:val="32"/>
          <w:szCs w:val="32"/>
        </w:rPr>
        <w:t>月</w:t>
      </w:r>
      <w:r>
        <w:rPr>
          <w:rFonts w:ascii="Times New Roman" w:hAnsi="Times New Roman" w:eastAsia="仿宋_GB2312"/>
          <w:color w:val="000000"/>
          <w:spacing w:val="7"/>
          <w:sz w:val="32"/>
          <w:szCs w:val="32"/>
        </w:rPr>
        <w:t>1</w:t>
      </w:r>
      <w:r>
        <w:rPr>
          <w:rFonts w:hint="eastAsia" w:ascii="Times New Roman" w:hAnsi="Times New Roman" w:eastAsia="仿宋_GB2312"/>
          <w:color w:val="000000"/>
          <w:spacing w:val="7"/>
          <w:sz w:val="32"/>
          <w:szCs w:val="32"/>
        </w:rPr>
        <w:t>日，《陕西省秦岭生态环境保护条例》颁布实施，为秦岭生态环境保护提供了法律遵循。</w:t>
      </w:r>
      <w:r>
        <w:rPr>
          <w:rFonts w:ascii="Times New Roman" w:hAnsi="Times New Roman" w:eastAsia="仿宋_GB2312"/>
          <w:color w:val="000000"/>
          <w:spacing w:val="7"/>
          <w:sz w:val="32"/>
          <w:szCs w:val="32"/>
        </w:rPr>
        <w:t>2018</w:t>
      </w:r>
      <w:r>
        <w:rPr>
          <w:rFonts w:hint="eastAsia" w:ascii="Times New Roman" w:hAnsi="Times New Roman" w:eastAsia="仿宋_GB2312"/>
          <w:color w:val="000000"/>
          <w:spacing w:val="7"/>
          <w:sz w:val="32"/>
          <w:szCs w:val="32"/>
        </w:rPr>
        <w:t>年</w:t>
      </w:r>
      <w:r>
        <w:rPr>
          <w:rFonts w:ascii="Times New Roman" w:hAnsi="Times New Roman" w:eastAsia="仿宋_GB2312"/>
          <w:color w:val="000000"/>
          <w:spacing w:val="7"/>
          <w:sz w:val="32"/>
          <w:szCs w:val="32"/>
        </w:rPr>
        <w:t>7</w:t>
      </w:r>
      <w:r>
        <w:rPr>
          <w:rFonts w:hint="eastAsia" w:ascii="Times New Roman" w:hAnsi="Times New Roman" w:eastAsia="仿宋_GB2312"/>
          <w:color w:val="000000"/>
          <w:spacing w:val="7"/>
          <w:sz w:val="32"/>
          <w:szCs w:val="32"/>
        </w:rPr>
        <w:t>月以来，省委、省政府深刻汲取秦岭北麓西安境内违建别墅问题教训，着力建立健全秦岭生态环境保护长效机制，下气力整治乱搭乱建、乱采乱挖、</w:t>
      </w:r>
      <w:r>
        <w:rPr>
          <w:rFonts w:hint="eastAsia" w:ascii="Times New Roman" w:hAnsi="Times New Roman" w:eastAsia="仿宋_GB2312"/>
          <w:color w:val="000000"/>
          <w:spacing w:val="7"/>
          <w:sz w:val="32"/>
          <w:szCs w:val="32"/>
          <w:lang w:eastAsia="zh-CN"/>
        </w:rPr>
        <w:t>乱砍滥伐</w:t>
      </w:r>
      <w:r>
        <w:rPr>
          <w:rFonts w:hint="eastAsia" w:ascii="Times New Roman" w:hAnsi="Times New Roman" w:eastAsia="仿宋_GB2312"/>
          <w:color w:val="000000"/>
          <w:spacing w:val="7"/>
          <w:sz w:val="32"/>
          <w:szCs w:val="32"/>
        </w:rPr>
        <w:t>、乱排乱放、乱捕乱猎</w:t>
      </w:r>
      <w:r>
        <w:rPr>
          <w:rFonts w:ascii="Times New Roman" w:hAnsi="Times New Roman" w:eastAsia="仿宋_GB2312"/>
          <w:color w:val="000000"/>
          <w:spacing w:val="7"/>
          <w:sz w:val="32"/>
          <w:szCs w:val="32"/>
        </w:rPr>
        <w:t>“</w:t>
      </w:r>
      <w:r>
        <w:rPr>
          <w:rFonts w:hint="eastAsia" w:ascii="Times New Roman" w:hAnsi="Times New Roman" w:eastAsia="仿宋_GB2312"/>
          <w:color w:val="000000"/>
          <w:spacing w:val="7"/>
          <w:sz w:val="32"/>
          <w:szCs w:val="32"/>
        </w:rPr>
        <w:t>五乱</w:t>
      </w:r>
      <w:r>
        <w:rPr>
          <w:rFonts w:ascii="Times New Roman" w:hAnsi="Times New Roman" w:eastAsia="仿宋_GB2312"/>
          <w:color w:val="000000"/>
          <w:spacing w:val="7"/>
          <w:sz w:val="32"/>
          <w:szCs w:val="32"/>
        </w:rPr>
        <w:t>”</w:t>
      </w:r>
      <w:r>
        <w:rPr>
          <w:rFonts w:hint="eastAsia" w:ascii="Times New Roman" w:hAnsi="Times New Roman" w:eastAsia="仿宋_GB2312"/>
          <w:color w:val="000000"/>
          <w:spacing w:val="7"/>
          <w:sz w:val="32"/>
          <w:szCs w:val="32"/>
        </w:rPr>
        <w:t>问题，洛南坚持举一反三，扎实开展了秦岭地区违规建筑和生态环境突出问题专项整治工作，实施系统性保护和修复，建立健全长效机制，扎实推进网格化监管，秦岭生态环境质量持续好转，洛南秦岭生态环境保护</w:t>
      </w:r>
      <w:r>
        <w:rPr>
          <w:rFonts w:hint="eastAsia" w:ascii="Times New Roman" w:hAnsi="Times New Roman" w:eastAsia="仿宋_GB2312"/>
          <w:color w:val="000000"/>
          <w:spacing w:val="-2"/>
          <w:sz w:val="32"/>
          <w:szCs w:val="32"/>
        </w:rPr>
        <w:t>工作从此掀开了崭新的篇章。</w:t>
      </w:r>
    </w:p>
    <w:p>
      <w:pPr>
        <w:spacing w:line="560" w:lineRule="exact"/>
        <w:ind w:firstLine="640" w:firstLineChars="200"/>
        <w:rPr>
          <w:rFonts w:ascii="Times New Roman" w:hAnsi="Times New Roman" w:eastAsia="仿宋_GB2312"/>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8" w:name="_Toc27071"/>
      <w:bookmarkStart w:id="9" w:name="_Toc455"/>
      <w:bookmarkStart w:id="10" w:name="_Toc14685"/>
      <w:r>
        <w:rPr>
          <w:rFonts w:hint="eastAsia" w:ascii="Times New Roman" w:hAnsi="Times New Roman" w:eastAsia="楷体_GB2312"/>
          <w:b/>
          <w:bCs/>
          <w:color w:val="000000"/>
          <w:sz w:val="32"/>
          <w:szCs w:val="32"/>
        </w:rPr>
        <w:t>第二节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保护范围</w:t>
      </w:r>
      <w:bookmarkEnd w:id="8"/>
      <w:bookmarkEnd w:id="9"/>
      <w:bookmarkEnd w:id="10"/>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洛南县秦岭生态环境保护区范围涵盖全县</w:t>
      </w:r>
      <w:r>
        <w:rPr>
          <w:rFonts w:ascii="Times New Roman" w:hAnsi="Times New Roman" w:eastAsia="仿宋_GB2312"/>
          <w:color w:val="000000"/>
          <w:sz w:val="32"/>
          <w:szCs w:val="32"/>
        </w:rPr>
        <w:t>2</w:t>
      </w:r>
      <w:r>
        <w:rPr>
          <w:rFonts w:hint="eastAsia" w:ascii="Times New Roman" w:hAnsi="Times New Roman" w:eastAsia="仿宋_GB2312"/>
          <w:color w:val="000000"/>
          <w:sz w:val="32"/>
          <w:szCs w:val="32"/>
        </w:rPr>
        <w:t>个街道办事处、</w:t>
      </w:r>
      <w:r>
        <w:rPr>
          <w:rFonts w:ascii="Times New Roman" w:hAnsi="Times New Roman" w:eastAsia="仿宋_GB2312"/>
          <w:color w:val="000000"/>
          <w:sz w:val="32"/>
          <w:szCs w:val="32"/>
        </w:rPr>
        <w:t>14</w:t>
      </w:r>
      <w:r>
        <w:rPr>
          <w:rFonts w:hint="eastAsia" w:ascii="Times New Roman" w:hAnsi="Times New Roman" w:eastAsia="仿宋_GB2312"/>
          <w:color w:val="000000"/>
          <w:sz w:val="32"/>
          <w:szCs w:val="32"/>
        </w:rPr>
        <w:t>个镇及洛南县县域工业集中区、</w:t>
      </w:r>
      <w:r>
        <w:rPr>
          <w:rFonts w:ascii="Times New Roman" w:hAnsi="Times New Roman" w:eastAsia="仿宋_GB2312"/>
          <w:color w:val="000000"/>
          <w:sz w:val="32"/>
          <w:szCs w:val="32"/>
        </w:rPr>
        <w:t>247</w:t>
      </w:r>
      <w:r>
        <w:rPr>
          <w:rFonts w:hint="eastAsia" w:ascii="Times New Roman" w:hAnsi="Times New Roman" w:eastAsia="仿宋_GB2312"/>
          <w:color w:val="000000"/>
          <w:sz w:val="32"/>
          <w:szCs w:val="32"/>
        </w:rPr>
        <w:t>个行政村（社区），总面积</w:t>
      </w:r>
      <w:r>
        <w:rPr>
          <w:rFonts w:ascii="Times New Roman" w:hAnsi="Times New Roman" w:eastAsia="仿宋_GB2312"/>
          <w:color w:val="000000"/>
          <w:sz w:val="32"/>
          <w:szCs w:val="32"/>
        </w:rPr>
        <w:t>2832</w:t>
      </w:r>
      <w:r>
        <w:rPr>
          <w:rFonts w:hint="eastAsia" w:ascii="Times New Roman" w:hAnsi="Times New Roman" w:eastAsia="仿宋_GB2312"/>
          <w:color w:val="000000"/>
          <w:sz w:val="32"/>
          <w:szCs w:val="32"/>
        </w:rPr>
        <w:t>平方公里，占全省秦岭生态环境保护区域总面积的</w:t>
      </w:r>
      <w:r>
        <w:rPr>
          <w:rFonts w:ascii="Times New Roman" w:hAnsi="Times New Roman" w:eastAsia="仿宋_GB2312"/>
          <w:color w:val="000000"/>
          <w:sz w:val="32"/>
          <w:szCs w:val="32"/>
        </w:rPr>
        <w:t>4.85%</w:t>
      </w:r>
      <w:r>
        <w:rPr>
          <w:rFonts w:hint="eastAsia" w:ascii="Times New Roman" w:hAnsi="Times New Roman" w:eastAsia="仿宋_GB2312"/>
          <w:color w:val="000000"/>
          <w:sz w:val="32"/>
          <w:szCs w:val="32"/>
        </w:rPr>
        <w:t>，</w:t>
      </w:r>
      <w:r>
        <w:rPr>
          <w:rFonts w:ascii="Times New Roman" w:hAnsi="Times New Roman" w:eastAsia="仿宋_GB2312"/>
          <w:color w:val="000000"/>
          <w:sz w:val="32"/>
          <w:szCs w:val="32"/>
        </w:rPr>
        <w:t>2019</w:t>
      </w:r>
      <w:r>
        <w:rPr>
          <w:rFonts w:hint="eastAsia" w:ascii="Times New Roman" w:hAnsi="Times New Roman" w:eastAsia="仿宋_GB2312"/>
          <w:color w:val="000000"/>
          <w:sz w:val="32"/>
          <w:szCs w:val="32"/>
        </w:rPr>
        <w:t>年末，全县常住人口</w:t>
      </w:r>
      <w:r>
        <w:rPr>
          <w:rFonts w:ascii="Times New Roman" w:hAnsi="Times New Roman" w:eastAsia="仿宋_GB2312"/>
          <w:color w:val="000000"/>
          <w:sz w:val="32"/>
          <w:szCs w:val="32"/>
        </w:rPr>
        <w:t>46.1</w:t>
      </w:r>
      <w:r>
        <w:rPr>
          <w:rFonts w:hint="eastAsia" w:ascii="Times New Roman" w:hAnsi="Times New Roman" w:eastAsia="仿宋_GB2312"/>
          <w:color w:val="000000"/>
          <w:sz w:val="32"/>
          <w:szCs w:val="32"/>
        </w:rPr>
        <w:t>万人，占全省秦岭生态环境保护区域总人口的</w:t>
      </w:r>
      <w:r>
        <w:rPr>
          <w:rFonts w:ascii="Times New Roman" w:hAnsi="Times New Roman" w:eastAsia="仿宋_GB2312"/>
          <w:color w:val="000000"/>
          <w:sz w:val="32"/>
          <w:szCs w:val="32"/>
        </w:rPr>
        <w:t>9.44%.</w:t>
      </w:r>
    </w:p>
    <w:p>
      <w:pPr>
        <w:spacing w:line="606" w:lineRule="exact"/>
        <w:jc w:val="center"/>
        <w:outlineLvl w:val="2"/>
        <w:rPr>
          <w:rFonts w:ascii="Times New Roman" w:hAnsi="Times New Roman" w:eastAsia="楷体_GB2312"/>
          <w:b/>
          <w:bCs/>
          <w:color w:val="000000"/>
          <w:sz w:val="28"/>
          <w:szCs w:val="28"/>
        </w:rPr>
      </w:pPr>
      <w:r>
        <w:rPr>
          <w:rFonts w:hint="eastAsia" w:ascii="Times New Roman" w:hAnsi="Times New Roman" w:eastAsia="楷体_GB2312"/>
          <w:b/>
          <w:bCs/>
          <w:color w:val="000000"/>
          <w:sz w:val="28"/>
          <w:szCs w:val="28"/>
        </w:rPr>
        <w:t>专栏</w:t>
      </w:r>
      <w:r>
        <w:rPr>
          <w:rFonts w:ascii="Times New Roman" w:hAnsi="Times New Roman" w:eastAsia="楷体_GB2312"/>
          <w:b/>
          <w:bCs/>
          <w:color w:val="000000"/>
          <w:sz w:val="28"/>
          <w:szCs w:val="28"/>
        </w:rPr>
        <w:t xml:space="preserve">1  </w:t>
      </w:r>
      <w:r>
        <w:rPr>
          <w:rFonts w:hint="eastAsia" w:ascii="Times New Roman" w:hAnsi="Times New Roman" w:eastAsia="楷体_GB2312"/>
          <w:b/>
          <w:bCs/>
          <w:color w:val="000000"/>
          <w:sz w:val="28"/>
          <w:szCs w:val="28"/>
        </w:rPr>
        <w:t>秦岭生态环境保护范围（全县所辖的</w:t>
      </w:r>
      <w:r>
        <w:rPr>
          <w:rFonts w:ascii="Times New Roman" w:hAnsi="Times New Roman" w:eastAsia="楷体_GB2312"/>
          <w:b/>
          <w:bCs/>
          <w:color w:val="000000"/>
          <w:sz w:val="28"/>
          <w:szCs w:val="28"/>
        </w:rPr>
        <w:t>16</w:t>
      </w:r>
      <w:r>
        <w:rPr>
          <w:rFonts w:hint="eastAsia" w:ascii="Times New Roman" w:hAnsi="Times New Roman" w:eastAsia="楷体_GB2312"/>
          <w:b/>
          <w:bCs/>
          <w:color w:val="000000"/>
          <w:sz w:val="28"/>
          <w:szCs w:val="28"/>
        </w:rPr>
        <w:t>个镇办）</w:t>
      </w:r>
    </w:p>
    <w:tbl>
      <w:tblPr>
        <w:tblStyle w:val="7"/>
        <w:tblW w:w="836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11"/>
        <w:gridCol w:w="68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jc w:val="center"/>
        </w:trPr>
        <w:tc>
          <w:tcPr>
            <w:tcW w:w="1511" w:type="dxa"/>
            <w:vAlign w:val="center"/>
          </w:tcPr>
          <w:p>
            <w:pPr>
              <w:adjustRightInd w:val="0"/>
              <w:snapToGrid w:val="0"/>
              <w:jc w:val="center"/>
              <w:rPr>
                <w:rFonts w:ascii="Times New Roman" w:hAnsi="Times New Roman" w:eastAsia="仿宋_GB2312"/>
                <w:bCs/>
                <w:color w:val="000000"/>
                <w:sz w:val="24"/>
              </w:rPr>
            </w:pPr>
            <w:r>
              <w:rPr>
                <w:rFonts w:hint="eastAsia" w:ascii="Times New Roman" w:hAnsi="Times New Roman" w:eastAsia="仿宋_GB2312"/>
                <w:bCs/>
                <w:color w:val="000000"/>
                <w:sz w:val="24"/>
              </w:rPr>
              <w:t>范</w:t>
            </w:r>
            <w:r>
              <w:rPr>
                <w:rFonts w:ascii="Times New Roman" w:hAnsi="Times New Roman" w:eastAsia="仿宋_GB2312"/>
                <w:bCs/>
                <w:color w:val="000000"/>
                <w:sz w:val="24"/>
              </w:rPr>
              <w:t xml:space="preserve"> </w:t>
            </w:r>
            <w:r>
              <w:rPr>
                <w:rFonts w:hint="eastAsia" w:ascii="Times New Roman" w:hAnsi="Times New Roman" w:eastAsia="仿宋_GB2312"/>
                <w:bCs/>
                <w:color w:val="000000"/>
                <w:sz w:val="24"/>
              </w:rPr>
              <w:t>围</w:t>
            </w:r>
          </w:p>
        </w:tc>
        <w:tc>
          <w:tcPr>
            <w:tcW w:w="6858" w:type="dxa"/>
            <w:vAlign w:val="center"/>
          </w:tcPr>
          <w:p>
            <w:pPr>
              <w:adjustRightInd w:val="0"/>
              <w:snapToGrid w:val="0"/>
              <w:ind w:firstLine="3600" w:firstLineChars="1500"/>
              <w:rPr>
                <w:rFonts w:ascii="Times New Roman" w:hAnsi="Times New Roman" w:eastAsia="仿宋_GB2312"/>
                <w:bCs/>
                <w:color w:val="000000"/>
                <w:sz w:val="24"/>
              </w:rPr>
            </w:pPr>
            <w:r>
              <w:rPr>
                <w:rFonts w:hint="eastAsia" w:ascii="Times New Roman" w:hAnsi="Times New Roman" w:eastAsia="仿宋_GB2312"/>
                <w:bCs/>
                <w:color w:val="000000"/>
                <w:sz w:val="24"/>
              </w:rPr>
              <w:t>名</w:t>
            </w:r>
            <w:r>
              <w:rPr>
                <w:rFonts w:ascii="Times New Roman" w:hAnsi="Times New Roman" w:eastAsia="仿宋_GB2312"/>
                <w:bCs/>
                <w:color w:val="000000"/>
                <w:sz w:val="24"/>
              </w:rPr>
              <w:t xml:space="preserve">  </w:t>
            </w:r>
            <w:r>
              <w:rPr>
                <w:rFonts w:hint="eastAsia" w:ascii="Times New Roman" w:hAnsi="Times New Roman" w:eastAsia="仿宋_GB2312"/>
                <w:bCs/>
                <w:color w:val="000000"/>
                <w:sz w:val="24"/>
              </w:rPr>
              <w:t>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0" w:hRule="atLeast"/>
          <w:jc w:val="center"/>
        </w:trPr>
        <w:tc>
          <w:tcPr>
            <w:tcW w:w="1511" w:type="dxa"/>
            <w:vAlign w:val="center"/>
          </w:tcPr>
          <w:p>
            <w:pPr>
              <w:adjustRightInd w:val="0"/>
              <w:snapToGrid w:val="0"/>
              <w:rPr>
                <w:rFonts w:ascii="Times New Roman" w:hAnsi="Times New Roman" w:eastAsia="仿宋_GB2312"/>
                <w:bCs/>
                <w:color w:val="000000"/>
                <w:spacing w:val="-6"/>
                <w:sz w:val="24"/>
              </w:rPr>
            </w:pPr>
            <w:r>
              <w:rPr>
                <w:rFonts w:hint="eastAsia" w:ascii="Times New Roman" w:hAnsi="Times New Roman" w:eastAsia="仿宋_GB2312"/>
                <w:bCs/>
                <w:color w:val="000000"/>
                <w:spacing w:val="-6"/>
                <w:sz w:val="24"/>
              </w:rPr>
              <w:t>涉及镇（办）</w:t>
            </w:r>
          </w:p>
        </w:tc>
        <w:tc>
          <w:tcPr>
            <w:tcW w:w="6858" w:type="dxa"/>
            <w:vAlign w:val="center"/>
          </w:tcPr>
          <w:p>
            <w:pPr>
              <w:adjustRightInd w:val="0"/>
              <w:snapToGrid w:val="0"/>
              <w:rPr>
                <w:rFonts w:ascii="Times New Roman" w:hAnsi="Times New Roman" w:eastAsia="仿宋_GB2312"/>
                <w:bCs/>
                <w:color w:val="000000"/>
                <w:spacing w:val="-6"/>
                <w:sz w:val="24"/>
              </w:rPr>
            </w:pPr>
            <w:r>
              <w:rPr>
                <w:rFonts w:hint="eastAsia" w:ascii="Times New Roman" w:hAnsi="Times New Roman" w:eastAsia="仿宋_GB2312"/>
                <w:bCs/>
                <w:color w:val="000000"/>
                <w:spacing w:val="-6"/>
                <w:sz w:val="24"/>
              </w:rPr>
              <w:t>城关街道办、四皓街道办、洛源镇、保安镇、永丰镇、景村镇、柏峪寺镇、古城镇、三要镇、高耀镇、灵口镇、麻坪镇、石门镇、石坡镇、寺耳镇、巡检镇</w:t>
            </w:r>
          </w:p>
        </w:tc>
      </w:tr>
    </w:tbl>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全县有省级自然保护区（点）</w:t>
      </w:r>
      <w:r>
        <w:rPr>
          <w:rFonts w:ascii="Times New Roman" w:hAnsi="Times New Roman" w:eastAsia="仿宋_GB2312"/>
          <w:color w:val="000000"/>
          <w:sz w:val="32"/>
          <w:szCs w:val="32"/>
        </w:rPr>
        <w:t>2</w:t>
      </w:r>
      <w:r>
        <w:rPr>
          <w:rFonts w:hint="eastAsia" w:ascii="Times New Roman" w:hAnsi="Times New Roman" w:eastAsia="仿宋_GB2312"/>
          <w:color w:val="000000"/>
          <w:sz w:val="32"/>
          <w:szCs w:val="32"/>
        </w:rPr>
        <w:t>处、国家级试点湿地公园</w:t>
      </w:r>
      <w:r>
        <w:rPr>
          <w:rFonts w:ascii="Times New Roman" w:hAnsi="Times New Roman" w:eastAsia="仿宋_GB2312"/>
          <w:color w:val="000000"/>
          <w:sz w:val="32"/>
          <w:szCs w:val="32"/>
        </w:rPr>
        <w:t>1</w:t>
      </w:r>
      <w:r>
        <w:rPr>
          <w:rFonts w:hint="eastAsia" w:ascii="Times New Roman" w:hAnsi="Times New Roman" w:eastAsia="仿宋_GB2312"/>
          <w:color w:val="000000"/>
          <w:sz w:val="32"/>
          <w:szCs w:val="32"/>
        </w:rPr>
        <w:t>处、县级重要饮用水水源地</w:t>
      </w:r>
      <w:r>
        <w:rPr>
          <w:rFonts w:ascii="Times New Roman" w:hAnsi="Times New Roman" w:eastAsia="仿宋_GB2312"/>
          <w:color w:val="000000"/>
          <w:sz w:val="32"/>
          <w:szCs w:val="32"/>
        </w:rPr>
        <w:t>1</w:t>
      </w:r>
      <w:r>
        <w:rPr>
          <w:rFonts w:hint="eastAsia" w:ascii="Times New Roman" w:hAnsi="Times New Roman" w:eastAsia="仿宋_GB2312"/>
          <w:color w:val="000000"/>
          <w:sz w:val="32"/>
          <w:szCs w:val="32"/>
        </w:rPr>
        <w:t>个、</w:t>
      </w:r>
      <w:r>
        <w:rPr>
          <w:rFonts w:hint="eastAsia" w:ascii="Times New Roman" w:hAnsi="Times New Roman" w:eastAsia="仿宋"/>
          <w:color w:val="000000"/>
          <w:sz w:val="32"/>
          <w:szCs w:val="32"/>
        </w:rPr>
        <w:t>国家级重点公益林保护区</w:t>
      </w:r>
      <w:r>
        <w:rPr>
          <w:rFonts w:ascii="Times New Roman" w:hAnsi="Times New Roman" w:eastAsia="仿宋"/>
          <w:color w:val="000000"/>
          <w:sz w:val="32"/>
          <w:szCs w:val="32"/>
        </w:rPr>
        <w:t>3</w:t>
      </w:r>
      <w:r>
        <w:rPr>
          <w:rFonts w:hint="eastAsia" w:ascii="Times New Roman" w:hAnsi="Times New Roman" w:eastAsia="仿宋"/>
          <w:color w:val="000000"/>
          <w:sz w:val="32"/>
          <w:szCs w:val="32"/>
        </w:rPr>
        <w:t>个</w:t>
      </w:r>
      <w:r>
        <w:rPr>
          <w:rFonts w:hint="eastAsia" w:ascii="Times New Roman" w:hAnsi="Times New Roman" w:eastAsia="仿宋_GB2312"/>
          <w:color w:val="000000"/>
          <w:sz w:val="32"/>
          <w:szCs w:val="32"/>
        </w:rPr>
        <w:t>、全国重点文物保护单位</w:t>
      </w:r>
      <w:r>
        <w:rPr>
          <w:rFonts w:ascii="Times New Roman" w:hAnsi="Times New Roman" w:eastAsia="仿宋_GB2312"/>
          <w:color w:val="000000"/>
          <w:sz w:val="32"/>
          <w:szCs w:val="32"/>
        </w:rPr>
        <w:t>2</w:t>
      </w:r>
      <w:r>
        <w:rPr>
          <w:rFonts w:hint="eastAsia" w:ascii="Times New Roman" w:hAnsi="Times New Roman" w:eastAsia="仿宋_GB2312"/>
          <w:color w:val="000000"/>
          <w:sz w:val="32"/>
          <w:szCs w:val="32"/>
        </w:rPr>
        <w:t>个、省级文物保护单位等</w:t>
      </w:r>
      <w:r>
        <w:rPr>
          <w:rFonts w:ascii="Times New Roman" w:hAnsi="Times New Roman" w:eastAsia="仿宋_GB2312"/>
          <w:color w:val="000000"/>
          <w:sz w:val="32"/>
          <w:szCs w:val="32"/>
        </w:rPr>
        <w:t>3</w:t>
      </w:r>
      <w:r>
        <w:rPr>
          <w:rFonts w:hint="eastAsia" w:ascii="Times New Roman" w:hAnsi="Times New Roman" w:eastAsia="仿宋_GB2312"/>
          <w:color w:val="000000"/>
          <w:sz w:val="32"/>
          <w:szCs w:val="32"/>
        </w:rPr>
        <w:t>个，共有各类保护单元</w:t>
      </w:r>
      <w:r>
        <w:rPr>
          <w:rFonts w:ascii="Times New Roman" w:hAnsi="Times New Roman" w:eastAsia="仿宋_GB2312"/>
          <w:color w:val="000000"/>
          <w:sz w:val="32"/>
          <w:szCs w:val="32"/>
        </w:rPr>
        <w:t>12</w:t>
      </w:r>
      <w:r>
        <w:rPr>
          <w:rFonts w:hint="eastAsia" w:ascii="Times New Roman" w:hAnsi="Times New Roman" w:eastAsia="仿宋_GB2312"/>
          <w:color w:val="000000"/>
          <w:sz w:val="32"/>
          <w:szCs w:val="32"/>
        </w:rPr>
        <w:t>个。</w:t>
      </w:r>
    </w:p>
    <w:p>
      <w:pPr>
        <w:jc w:val="center"/>
        <w:outlineLvl w:val="2"/>
        <w:rPr>
          <w:rFonts w:ascii="Times New Roman" w:hAnsi="Times New Roman" w:eastAsia="楷体_GB2312"/>
          <w:b/>
          <w:bCs/>
          <w:color w:val="000000"/>
          <w:sz w:val="28"/>
          <w:szCs w:val="28"/>
        </w:rPr>
      </w:pPr>
      <w:bookmarkStart w:id="11" w:name="_Toc25138998"/>
      <w:r>
        <w:rPr>
          <w:rFonts w:hint="eastAsia" w:ascii="Times New Roman" w:hAnsi="Times New Roman" w:eastAsia="楷体_GB2312"/>
          <w:b/>
          <w:bCs/>
          <w:color w:val="000000"/>
          <w:sz w:val="28"/>
          <w:szCs w:val="28"/>
        </w:rPr>
        <w:t>专栏</w:t>
      </w:r>
      <w:r>
        <w:rPr>
          <w:rFonts w:ascii="Times New Roman" w:hAnsi="Times New Roman" w:eastAsia="楷体_GB2312"/>
          <w:b/>
          <w:bCs/>
          <w:color w:val="000000"/>
          <w:sz w:val="28"/>
          <w:szCs w:val="28"/>
        </w:rPr>
        <w:t xml:space="preserve">2  </w:t>
      </w:r>
      <w:r>
        <w:rPr>
          <w:rFonts w:hint="eastAsia" w:ascii="Times New Roman" w:hAnsi="Times New Roman" w:eastAsia="楷体_GB2312"/>
          <w:b/>
          <w:bCs/>
          <w:color w:val="000000"/>
          <w:sz w:val="28"/>
          <w:szCs w:val="28"/>
        </w:rPr>
        <w:t>洛南县秦岭生态环境保护单元</w:t>
      </w:r>
      <w:bookmarkEnd w:id="11"/>
      <w:r>
        <w:rPr>
          <w:rFonts w:hint="eastAsia" w:ascii="Times New Roman" w:hAnsi="Times New Roman" w:eastAsia="楷体_GB2312"/>
          <w:b/>
          <w:bCs/>
          <w:color w:val="000000"/>
          <w:sz w:val="28"/>
          <w:szCs w:val="28"/>
        </w:rPr>
        <w:t>名录</w:t>
      </w:r>
    </w:p>
    <w:tbl>
      <w:tblPr>
        <w:tblStyle w:val="7"/>
        <w:tblW w:w="9067" w:type="dxa"/>
        <w:tblInd w:w="-4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673"/>
        <w:gridCol w:w="1227"/>
        <w:gridCol w:w="51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trPr>
        <w:tc>
          <w:tcPr>
            <w:tcW w:w="2673" w:type="dxa"/>
            <w:vAlign w:val="center"/>
          </w:tcPr>
          <w:p>
            <w:pPr>
              <w:adjustRightInd w:val="0"/>
              <w:snapToGrid w:val="0"/>
              <w:jc w:val="center"/>
              <w:rPr>
                <w:rFonts w:ascii="Times New Roman" w:hAnsi="Times New Roman" w:eastAsia="仿宋_GB2312"/>
                <w:b/>
                <w:bCs/>
                <w:color w:val="000000"/>
                <w:sz w:val="24"/>
              </w:rPr>
            </w:pPr>
            <w:r>
              <w:rPr>
                <w:rFonts w:hint="eastAsia" w:ascii="Times New Roman" w:hAnsi="Times New Roman" w:eastAsia="仿宋_GB2312"/>
                <w:b/>
                <w:bCs/>
                <w:color w:val="000000"/>
                <w:sz w:val="24"/>
              </w:rPr>
              <w:t>类</w:t>
            </w:r>
            <w:r>
              <w:rPr>
                <w:rFonts w:ascii="Times New Roman" w:hAnsi="Times New Roman" w:eastAsia="仿宋_GB2312"/>
                <w:b/>
                <w:bCs/>
                <w:color w:val="000000"/>
                <w:sz w:val="24"/>
              </w:rPr>
              <w:t xml:space="preserve">   </w:t>
            </w:r>
            <w:r>
              <w:rPr>
                <w:rFonts w:hint="eastAsia" w:ascii="Times New Roman" w:hAnsi="Times New Roman" w:eastAsia="仿宋_GB2312"/>
                <w:b/>
                <w:bCs/>
                <w:color w:val="000000"/>
                <w:sz w:val="24"/>
              </w:rPr>
              <w:t>别</w:t>
            </w:r>
          </w:p>
        </w:tc>
        <w:tc>
          <w:tcPr>
            <w:tcW w:w="1227" w:type="dxa"/>
            <w:vAlign w:val="center"/>
          </w:tcPr>
          <w:p>
            <w:pPr>
              <w:adjustRightInd w:val="0"/>
              <w:snapToGrid w:val="0"/>
              <w:jc w:val="center"/>
              <w:rPr>
                <w:rFonts w:ascii="Times New Roman" w:hAnsi="Times New Roman" w:eastAsia="仿宋_GB2312"/>
                <w:b/>
                <w:bCs/>
                <w:color w:val="000000"/>
                <w:sz w:val="24"/>
              </w:rPr>
            </w:pPr>
            <w:r>
              <w:rPr>
                <w:rFonts w:hint="eastAsia" w:ascii="Times New Roman" w:hAnsi="Times New Roman" w:eastAsia="仿宋_GB2312"/>
                <w:b/>
                <w:bCs/>
                <w:color w:val="000000"/>
                <w:sz w:val="24"/>
              </w:rPr>
              <w:t>数量</w:t>
            </w:r>
          </w:p>
          <w:p>
            <w:pPr>
              <w:adjustRightInd w:val="0"/>
              <w:snapToGrid w:val="0"/>
              <w:jc w:val="center"/>
              <w:rPr>
                <w:rFonts w:ascii="Times New Roman" w:hAnsi="Times New Roman" w:eastAsia="仿宋_GB2312"/>
                <w:b/>
                <w:bCs/>
                <w:color w:val="000000"/>
                <w:sz w:val="24"/>
              </w:rPr>
            </w:pPr>
            <w:r>
              <w:rPr>
                <w:rFonts w:hint="eastAsia" w:ascii="Times New Roman" w:hAnsi="Times New Roman" w:eastAsia="仿宋_GB2312"/>
                <w:b/>
                <w:bCs/>
                <w:color w:val="000000"/>
                <w:sz w:val="24"/>
              </w:rPr>
              <w:t>（个）</w:t>
            </w:r>
          </w:p>
        </w:tc>
        <w:tc>
          <w:tcPr>
            <w:tcW w:w="5167" w:type="dxa"/>
            <w:vAlign w:val="center"/>
          </w:tcPr>
          <w:p>
            <w:pPr>
              <w:adjustRightInd w:val="0"/>
              <w:snapToGrid w:val="0"/>
              <w:jc w:val="center"/>
              <w:rPr>
                <w:rFonts w:ascii="Times New Roman" w:hAnsi="Times New Roman" w:eastAsia="仿宋_GB2312"/>
                <w:b/>
                <w:bCs/>
                <w:color w:val="000000"/>
                <w:sz w:val="24"/>
              </w:rPr>
            </w:pPr>
            <w:r>
              <w:rPr>
                <w:rFonts w:hint="eastAsia" w:ascii="Times New Roman" w:hAnsi="Times New Roman" w:eastAsia="仿宋_GB2312"/>
                <w:b/>
                <w:bCs/>
                <w:color w:val="000000"/>
                <w:sz w:val="24"/>
              </w:rPr>
              <w:t>名</w:t>
            </w:r>
            <w:r>
              <w:rPr>
                <w:rFonts w:ascii="Times New Roman" w:hAnsi="Times New Roman" w:eastAsia="仿宋_GB2312"/>
                <w:b/>
                <w:bCs/>
                <w:color w:val="000000"/>
                <w:sz w:val="24"/>
              </w:rPr>
              <w:t xml:space="preserve">   </w:t>
            </w:r>
            <w:r>
              <w:rPr>
                <w:rFonts w:hint="eastAsia" w:ascii="Times New Roman" w:hAnsi="Times New Roman" w:eastAsia="仿宋_GB2312"/>
                <w:b/>
                <w:bCs/>
                <w:color w:val="000000"/>
                <w:sz w:val="24"/>
              </w:rPr>
              <w:t>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28" w:hRule="atLeast"/>
        </w:trPr>
        <w:tc>
          <w:tcPr>
            <w:tcW w:w="2673" w:type="dxa"/>
            <w:vAlign w:val="center"/>
          </w:tcPr>
          <w:p>
            <w:pPr>
              <w:adjustRightInd w:val="0"/>
              <w:snapToGrid w:val="0"/>
              <w:rPr>
                <w:rFonts w:ascii="Times New Roman" w:hAnsi="Times New Roman" w:eastAsia="仿宋_GB2312"/>
                <w:b/>
                <w:color w:val="000000"/>
                <w:sz w:val="24"/>
              </w:rPr>
            </w:pPr>
            <w:r>
              <w:rPr>
                <w:rFonts w:hint="eastAsia" w:ascii="Times New Roman" w:hAnsi="Times New Roman" w:eastAsia="仿宋_GB2312"/>
                <w:b/>
                <w:color w:val="000000"/>
                <w:sz w:val="24"/>
              </w:rPr>
              <w:t>自然保护区</w:t>
            </w:r>
          </w:p>
        </w:tc>
        <w:tc>
          <w:tcPr>
            <w:tcW w:w="1227" w:type="dxa"/>
            <w:vAlign w:val="center"/>
          </w:tcPr>
          <w:p>
            <w:pPr>
              <w:adjustRightInd w:val="0"/>
              <w:snapToGrid w:val="0"/>
              <w:jc w:val="center"/>
              <w:rPr>
                <w:rFonts w:ascii="Times New Roman" w:hAnsi="Times New Roman" w:eastAsia="仿宋_GB2312"/>
                <w:b/>
                <w:color w:val="000000"/>
                <w:sz w:val="24"/>
              </w:rPr>
            </w:pPr>
            <w:r>
              <w:rPr>
                <w:rFonts w:ascii="Times New Roman" w:hAnsi="Times New Roman" w:eastAsia="仿宋_GB2312"/>
                <w:b/>
                <w:color w:val="000000"/>
                <w:sz w:val="24"/>
              </w:rPr>
              <w:t>2</w:t>
            </w:r>
          </w:p>
        </w:tc>
        <w:tc>
          <w:tcPr>
            <w:tcW w:w="5167" w:type="dxa"/>
            <w:vAlign w:val="center"/>
          </w:tcPr>
          <w:p>
            <w:pPr>
              <w:adjustRightInd w:val="0"/>
              <w:snapToGrid w:val="0"/>
              <w:rPr>
                <w:rFonts w:ascii="Times New Roman" w:hAnsi="Times New Roman" w:eastAsia="仿宋_GB2312"/>
                <w:color w:val="000000"/>
                <w:sz w:val="24"/>
              </w:rPr>
            </w:pPr>
            <w:r>
              <w:rPr>
                <w:rFonts w:hint="eastAsia" w:ascii="Times New Roman" w:hAnsi="Times New Roman" w:eastAsia="仿宋_GB2312"/>
                <w:color w:val="000000"/>
                <w:sz w:val="24"/>
              </w:rPr>
              <w:t>陕西洛南大鲵省级自然保护区、洛南黄龙铺－石门《小秦岭元古界剖面》省级自然保护点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34" w:hRule="atLeast"/>
        </w:trPr>
        <w:tc>
          <w:tcPr>
            <w:tcW w:w="2673" w:type="dxa"/>
            <w:vAlign w:val="center"/>
          </w:tcPr>
          <w:p>
            <w:pPr>
              <w:adjustRightInd w:val="0"/>
              <w:snapToGrid w:val="0"/>
              <w:rPr>
                <w:rFonts w:ascii="Times New Roman" w:hAnsi="Times New Roman" w:eastAsia="仿宋_GB2312"/>
                <w:b/>
                <w:color w:val="000000"/>
                <w:sz w:val="24"/>
              </w:rPr>
            </w:pPr>
            <w:r>
              <w:rPr>
                <w:rFonts w:hint="eastAsia" w:ascii="Times New Roman" w:hAnsi="Times New Roman" w:eastAsia="仿宋_GB2312"/>
                <w:b/>
                <w:color w:val="000000"/>
                <w:sz w:val="24"/>
              </w:rPr>
              <w:t>县级饮用水水源保护区</w:t>
            </w:r>
          </w:p>
        </w:tc>
        <w:tc>
          <w:tcPr>
            <w:tcW w:w="1227" w:type="dxa"/>
            <w:vAlign w:val="center"/>
          </w:tcPr>
          <w:p>
            <w:pPr>
              <w:adjustRightInd w:val="0"/>
              <w:snapToGrid w:val="0"/>
              <w:jc w:val="center"/>
              <w:rPr>
                <w:rFonts w:ascii="Times New Roman" w:hAnsi="Times New Roman" w:eastAsia="仿宋_GB2312"/>
                <w:b/>
                <w:color w:val="000000"/>
                <w:sz w:val="24"/>
              </w:rPr>
            </w:pPr>
            <w:r>
              <w:rPr>
                <w:rFonts w:ascii="Times New Roman" w:hAnsi="Times New Roman" w:eastAsia="仿宋_GB2312"/>
                <w:b/>
                <w:color w:val="000000"/>
                <w:sz w:val="24"/>
              </w:rPr>
              <w:t>1</w:t>
            </w:r>
          </w:p>
        </w:tc>
        <w:tc>
          <w:tcPr>
            <w:tcW w:w="5167" w:type="dxa"/>
            <w:vAlign w:val="center"/>
          </w:tcPr>
          <w:p>
            <w:pPr>
              <w:adjustRightInd w:val="0"/>
              <w:snapToGrid w:val="0"/>
              <w:rPr>
                <w:rFonts w:ascii="Times New Roman" w:hAnsi="Times New Roman" w:eastAsia="仿宋_GB2312"/>
                <w:color w:val="000000"/>
                <w:sz w:val="24"/>
              </w:rPr>
            </w:pPr>
            <w:r>
              <w:rPr>
                <w:rFonts w:hint="eastAsia" w:ascii="Times New Roman" w:hAnsi="Times New Roman" w:eastAsia="仿宋_GB2312"/>
                <w:bCs/>
                <w:color w:val="000000"/>
                <w:sz w:val="24"/>
              </w:rPr>
              <w:t>洛河上游水源保护区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4" w:hRule="atLeast"/>
        </w:trPr>
        <w:tc>
          <w:tcPr>
            <w:tcW w:w="2673" w:type="dxa"/>
            <w:vAlign w:val="center"/>
          </w:tcPr>
          <w:p>
            <w:pPr>
              <w:adjustRightInd w:val="0"/>
              <w:snapToGrid w:val="0"/>
              <w:rPr>
                <w:rFonts w:ascii="Times New Roman" w:hAnsi="Times New Roman" w:eastAsia="仿宋_GB2312"/>
                <w:b/>
                <w:color w:val="000000"/>
                <w:sz w:val="24"/>
              </w:rPr>
            </w:pPr>
            <w:r>
              <w:rPr>
                <w:rFonts w:hint="eastAsia" w:ascii="Times New Roman" w:hAnsi="Times New Roman" w:eastAsia="仿宋_GB2312"/>
                <w:b/>
                <w:color w:val="000000"/>
                <w:sz w:val="24"/>
              </w:rPr>
              <w:t>湿地公园</w:t>
            </w:r>
          </w:p>
        </w:tc>
        <w:tc>
          <w:tcPr>
            <w:tcW w:w="1227" w:type="dxa"/>
            <w:vAlign w:val="center"/>
          </w:tcPr>
          <w:p>
            <w:pPr>
              <w:adjustRightInd w:val="0"/>
              <w:snapToGrid w:val="0"/>
              <w:jc w:val="center"/>
              <w:rPr>
                <w:rFonts w:ascii="Times New Roman" w:hAnsi="Times New Roman" w:eastAsia="仿宋_GB2312"/>
                <w:b/>
                <w:color w:val="000000"/>
                <w:sz w:val="24"/>
              </w:rPr>
            </w:pPr>
            <w:r>
              <w:rPr>
                <w:rFonts w:ascii="Times New Roman" w:hAnsi="Times New Roman" w:eastAsia="仿宋_GB2312"/>
                <w:b/>
                <w:color w:val="000000"/>
                <w:sz w:val="24"/>
              </w:rPr>
              <w:t>1</w:t>
            </w:r>
          </w:p>
        </w:tc>
        <w:tc>
          <w:tcPr>
            <w:tcW w:w="5167" w:type="dxa"/>
            <w:vAlign w:val="center"/>
          </w:tcPr>
          <w:p>
            <w:pPr>
              <w:adjustRightInd w:val="0"/>
              <w:snapToGrid w:val="0"/>
              <w:rPr>
                <w:rFonts w:ascii="Times New Roman" w:hAnsi="Times New Roman" w:eastAsia="仿宋_GB2312"/>
                <w:color w:val="000000"/>
                <w:sz w:val="24"/>
              </w:rPr>
            </w:pPr>
            <w:r>
              <w:rPr>
                <w:rFonts w:hint="eastAsia" w:ascii="Times New Roman" w:hAnsi="Times New Roman" w:eastAsia="仿宋_GB2312"/>
                <w:color w:val="000000"/>
                <w:sz w:val="24"/>
              </w:rPr>
              <w:t>陕西洛南洛河国家湿地公园（试点）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34" w:hRule="atLeast"/>
        </w:trPr>
        <w:tc>
          <w:tcPr>
            <w:tcW w:w="2673" w:type="dxa"/>
            <w:vAlign w:val="center"/>
          </w:tcPr>
          <w:p>
            <w:pPr>
              <w:adjustRightInd w:val="0"/>
              <w:snapToGrid w:val="0"/>
              <w:rPr>
                <w:rFonts w:ascii="Times New Roman" w:hAnsi="Times New Roman" w:eastAsia="仿宋_GB2312"/>
                <w:b/>
                <w:color w:val="000000"/>
                <w:sz w:val="24"/>
              </w:rPr>
            </w:pPr>
            <w:r>
              <w:rPr>
                <w:rFonts w:hint="eastAsia" w:ascii="Times New Roman" w:hAnsi="Times New Roman" w:eastAsia="仿宋_GB2312"/>
                <w:b/>
                <w:bCs/>
                <w:color w:val="000000"/>
                <w:sz w:val="24"/>
              </w:rPr>
              <w:t>国家级重点公益林保护区</w:t>
            </w:r>
          </w:p>
        </w:tc>
        <w:tc>
          <w:tcPr>
            <w:tcW w:w="1227" w:type="dxa"/>
            <w:vAlign w:val="center"/>
          </w:tcPr>
          <w:p>
            <w:pPr>
              <w:adjustRightInd w:val="0"/>
              <w:snapToGrid w:val="0"/>
              <w:jc w:val="center"/>
              <w:rPr>
                <w:rFonts w:ascii="Times New Roman" w:hAnsi="Times New Roman" w:eastAsia="仿宋_GB2312"/>
                <w:b/>
                <w:color w:val="000000"/>
                <w:sz w:val="24"/>
              </w:rPr>
            </w:pPr>
            <w:r>
              <w:rPr>
                <w:rFonts w:ascii="Times New Roman" w:hAnsi="Times New Roman" w:eastAsia="仿宋_GB2312"/>
                <w:b/>
                <w:color w:val="000000"/>
                <w:sz w:val="24"/>
              </w:rPr>
              <w:t>3</w:t>
            </w:r>
          </w:p>
        </w:tc>
        <w:tc>
          <w:tcPr>
            <w:tcW w:w="5167" w:type="dxa"/>
            <w:vAlign w:val="center"/>
          </w:tcPr>
          <w:p>
            <w:pPr>
              <w:adjustRightInd w:val="0"/>
              <w:snapToGrid w:val="0"/>
              <w:rPr>
                <w:rFonts w:ascii="Times New Roman" w:hAnsi="Times New Roman" w:eastAsia="仿宋_GB2312"/>
                <w:color w:val="000000"/>
                <w:sz w:val="24"/>
              </w:rPr>
            </w:pPr>
            <w:r>
              <w:rPr>
                <w:rFonts w:hint="eastAsia" w:ascii="Times New Roman" w:hAnsi="Times New Roman" w:eastAsia="仿宋_GB2312"/>
                <w:color w:val="000000"/>
                <w:sz w:val="24"/>
              </w:rPr>
              <w:t>江河源头</w:t>
            </w:r>
            <w:r>
              <w:rPr>
                <w:rFonts w:ascii="Times New Roman" w:hAnsi="Times New Roman" w:eastAsia="仿宋_GB2312"/>
                <w:color w:val="000000"/>
                <w:sz w:val="24"/>
              </w:rPr>
              <w:t>12.54</w:t>
            </w:r>
            <w:r>
              <w:rPr>
                <w:rFonts w:hint="eastAsia" w:ascii="Times New Roman" w:hAnsi="Times New Roman" w:eastAsia="仿宋_GB2312"/>
                <w:color w:val="000000"/>
                <w:sz w:val="24"/>
              </w:rPr>
              <w:t>万亩，江河两岸</w:t>
            </w:r>
            <w:r>
              <w:rPr>
                <w:rFonts w:ascii="Times New Roman" w:hAnsi="Times New Roman" w:eastAsia="仿宋_GB2312"/>
                <w:color w:val="000000"/>
                <w:sz w:val="24"/>
              </w:rPr>
              <w:t>28.77</w:t>
            </w:r>
            <w:r>
              <w:rPr>
                <w:rFonts w:hint="eastAsia" w:ascii="Times New Roman" w:hAnsi="Times New Roman" w:eastAsia="仿宋_GB2312"/>
                <w:color w:val="000000"/>
                <w:sz w:val="24"/>
              </w:rPr>
              <w:t>万亩，秦岭生态保护区</w:t>
            </w:r>
            <w:r>
              <w:rPr>
                <w:rFonts w:ascii="Times New Roman" w:hAnsi="Times New Roman" w:eastAsia="仿宋_GB2312"/>
                <w:color w:val="000000"/>
                <w:sz w:val="24"/>
              </w:rPr>
              <w:t>89.49</w:t>
            </w:r>
            <w:r>
              <w:rPr>
                <w:rFonts w:hint="eastAsia" w:ascii="Times New Roman" w:hAnsi="Times New Roman" w:eastAsia="仿宋_GB2312"/>
                <w:color w:val="000000"/>
                <w:sz w:val="24"/>
              </w:rPr>
              <w:t>万亩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34" w:hRule="atLeast"/>
        </w:trPr>
        <w:tc>
          <w:tcPr>
            <w:tcW w:w="2673" w:type="dxa"/>
            <w:vAlign w:val="center"/>
          </w:tcPr>
          <w:p>
            <w:pPr>
              <w:adjustRightInd w:val="0"/>
              <w:snapToGrid w:val="0"/>
              <w:rPr>
                <w:rFonts w:ascii="Times New Roman" w:hAnsi="Times New Roman" w:eastAsia="仿宋_GB2312"/>
                <w:b/>
                <w:color w:val="000000"/>
                <w:sz w:val="24"/>
              </w:rPr>
            </w:pPr>
            <w:r>
              <w:rPr>
                <w:rFonts w:hint="eastAsia" w:ascii="Times New Roman" w:hAnsi="Times New Roman" w:eastAsia="仿宋_GB2312"/>
                <w:b/>
                <w:color w:val="000000"/>
                <w:sz w:val="24"/>
              </w:rPr>
              <w:t>全国重点文物保护单位</w:t>
            </w:r>
          </w:p>
        </w:tc>
        <w:tc>
          <w:tcPr>
            <w:tcW w:w="1227" w:type="dxa"/>
            <w:vAlign w:val="center"/>
          </w:tcPr>
          <w:p>
            <w:pPr>
              <w:adjustRightInd w:val="0"/>
              <w:snapToGrid w:val="0"/>
              <w:jc w:val="center"/>
              <w:rPr>
                <w:rFonts w:ascii="Times New Roman" w:hAnsi="Times New Roman" w:eastAsia="仿宋_GB2312"/>
                <w:b/>
                <w:color w:val="000000"/>
                <w:sz w:val="24"/>
              </w:rPr>
            </w:pPr>
            <w:r>
              <w:rPr>
                <w:rFonts w:ascii="Times New Roman" w:hAnsi="Times New Roman" w:eastAsia="仿宋_GB2312"/>
                <w:b/>
                <w:color w:val="000000"/>
                <w:sz w:val="24"/>
              </w:rPr>
              <w:t>2</w:t>
            </w:r>
          </w:p>
        </w:tc>
        <w:tc>
          <w:tcPr>
            <w:tcW w:w="5167" w:type="dxa"/>
            <w:vAlign w:val="center"/>
          </w:tcPr>
          <w:p>
            <w:pPr>
              <w:adjustRightInd w:val="0"/>
              <w:snapToGrid w:val="0"/>
              <w:rPr>
                <w:rFonts w:ascii="Times New Roman" w:hAnsi="Times New Roman" w:eastAsia="仿宋_GB2312"/>
                <w:color w:val="000000"/>
                <w:sz w:val="24"/>
              </w:rPr>
            </w:pPr>
            <w:r>
              <w:rPr>
                <w:rFonts w:hint="eastAsia" w:ascii="Times New Roman" w:hAnsi="Times New Roman" w:eastAsia="仿宋_GB2312"/>
                <w:color w:val="000000"/>
                <w:sz w:val="24"/>
              </w:rPr>
              <w:t>花石浪遗址、洛南盆地旧石器地点群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34" w:hRule="atLeast"/>
        </w:trPr>
        <w:tc>
          <w:tcPr>
            <w:tcW w:w="2673" w:type="dxa"/>
            <w:vAlign w:val="center"/>
          </w:tcPr>
          <w:p>
            <w:pPr>
              <w:adjustRightInd w:val="0"/>
              <w:snapToGrid w:val="0"/>
              <w:rPr>
                <w:rFonts w:ascii="Times New Roman" w:hAnsi="Times New Roman" w:eastAsia="仿宋_GB2312"/>
                <w:b/>
                <w:color w:val="000000"/>
                <w:sz w:val="24"/>
              </w:rPr>
            </w:pPr>
            <w:r>
              <w:rPr>
                <w:rFonts w:hint="eastAsia" w:ascii="Times New Roman" w:hAnsi="Times New Roman" w:eastAsia="仿宋_GB2312"/>
                <w:b/>
                <w:color w:val="000000"/>
                <w:sz w:val="24"/>
              </w:rPr>
              <w:t>省级文物保护单位</w:t>
            </w:r>
          </w:p>
        </w:tc>
        <w:tc>
          <w:tcPr>
            <w:tcW w:w="1227" w:type="dxa"/>
            <w:vAlign w:val="center"/>
          </w:tcPr>
          <w:p>
            <w:pPr>
              <w:adjustRightInd w:val="0"/>
              <w:snapToGrid w:val="0"/>
              <w:jc w:val="center"/>
              <w:rPr>
                <w:rFonts w:ascii="Times New Roman" w:hAnsi="Times New Roman" w:eastAsia="仿宋_GB2312"/>
                <w:b/>
                <w:color w:val="000000"/>
                <w:sz w:val="24"/>
              </w:rPr>
            </w:pPr>
            <w:r>
              <w:rPr>
                <w:rFonts w:ascii="Times New Roman" w:hAnsi="Times New Roman" w:eastAsia="仿宋_GB2312"/>
                <w:b/>
                <w:color w:val="000000"/>
                <w:sz w:val="24"/>
              </w:rPr>
              <w:t>3</w:t>
            </w:r>
          </w:p>
        </w:tc>
        <w:tc>
          <w:tcPr>
            <w:tcW w:w="5167" w:type="dxa"/>
            <w:vAlign w:val="center"/>
          </w:tcPr>
          <w:p>
            <w:pPr>
              <w:adjustRightInd w:val="0"/>
              <w:snapToGrid w:val="0"/>
              <w:rPr>
                <w:rFonts w:ascii="Times New Roman" w:hAnsi="Times New Roman" w:eastAsia="仿宋_GB2312"/>
                <w:color w:val="000000"/>
                <w:sz w:val="24"/>
              </w:rPr>
            </w:pPr>
            <w:r>
              <w:rPr>
                <w:rFonts w:hint="eastAsia" w:ascii="Times New Roman" w:hAnsi="Times New Roman" w:eastAsia="仿宋_GB2312"/>
                <w:color w:val="000000"/>
                <w:sz w:val="24"/>
              </w:rPr>
              <w:t>洛南文庙、西寺墓群、洛南华严寺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18" w:hRule="atLeast"/>
        </w:trPr>
        <w:tc>
          <w:tcPr>
            <w:tcW w:w="2673" w:type="dxa"/>
            <w:vAlign w:val="center"/>
          </w:tcPr>
          <w:p>
            <w:pPr>
              <w:adjustRightInd w:val="0"/>
              <w:snapToGrid w:val="0"/>
              <w:jc w:val="center"/>
              <w:rPr>
                <w:rFonts w:ascii="Times New Roman" w:hAnsi="Times New Roman" w:eastAsia="仿宋_GB2312"/>
                <w:b/>
                <w:color w:val="000000"/>
                <w:sz w:val="24"/>
              </w:rPr>
            </w:pPr>
            <w:r>
              <w:rPr>
                <w:rFonts w:hint="eastAsia" w:ascii="Times New Roman" w:hAnsi="Times New Roman" w:eastAsia="仿宋_GB2312"/>
                <w:b/>
                <w:color w:val="000000"/>
                <w:sz w:val="24"/>
              </w:rPr>
              <w:t>合计</w:t>
            </w:r>
          </w:p>
        </w:tc>
        <w:tc>
          <w:tcPr>
            <w:tcW w:w="1227" w:type="dxa"/>
            <w:vAlign w:val="center"/>
          </w:tcPr>
          <w:p>
            <w:pPr>
              <w:adjustRightInd w:val="0"/>
              <w:snapToGrid w:val="0"/>
              <w:jc w:val="center"/>
              <w:rPr>
                <w:rFonts w:ascii="Times New Roman" w:hAnsi="Times New Roman" w:eastAsia="仿宋_GB2312"/>
                <w:b/>
                <w:color w:val="000000"/>
                <w:sz w:val="24"/>
              </w:rPr>
            </w:pPr>
            <w:r>
              <w:rPr>
                <w:rFonts w:ascii="Times New Roman" w:hAnsi="Times New Roman" w:eastAsia="仿宋_GB2312"/>
                <w:b/>
                <w:color w:val="000000"/>
                <w:sz w:val="24"/>
              </w:rPr>
              <w:t>12</w:t>
            </w:r>
          </w:p>
        </w:tc>
        <w:tc>
          <w:tcPr>
            <w:tcW w:w="5167" w:type="dxa"/>
            <w:vAlign w:val="center"/>
          </w:tcPr>
          <w:p>
            <w:pPr>
              <w:adjustRightInd w:val="0"/>
              <w:snapToGrid w:val="0"/>
              <w:rPr>
                <w:rFonts w:ascii="Times New Roman" w:hAnsi="Times New Roman" w:eastAsia="仿宋_GB2312"/>
                <w:color w:val="000000"/>
                <w:sz w:val="24"/>
              </w:rPr>
            </w:pPr>
          </w:p>
        </w:tc>
      </w:tr>
    </w:tbl>
    <w:p>
      <w:pPr>
        <w:spacing w:line="520" w:lineRule="exact"/>
        <w:ind w:firstLine="482" w:firstLineChars="200"/>
        <w:rPr>
          <w:rFonts w:ascii="Times New Roman" w:hAnsi="Times New Roman" w:eastAsia="仿宋_GB2312"/>
          <w:b/>
          <w:bCs/>
          <w:color w:val="000000"/>
          <w:sz w:val="24"/>
          <w:szCs w:val="32"/>
        </w:rPr>
      </w:pPr>
      <w:r>
        <w:rPr>
          <w:rFonts w:hint="eastAsia" w:ascii="Times New Roman" w:hAnsi="Times New Roman" w:eastAsia="仿宋_GB2312"/>
          <w:b/>
          <w:bCs/>
          <w:color w:val="000000"/>
          <w:sz w:val="24"/>
          <w:szCs w:val="32"/>
        </w:rPr>
        <w:t>说明：</w:t>
      </w:r>
    </w:p>
    <w:p>
      <w:pPr>
        <w:pStyle w:val="2"/>
        <w:spacing w:after="0" w:line="520" w:lineRule="exact"/>
        <w:ind w:firstLine="560" w:firstLineChars="200"/>
        <w:rPr>
          <w:rFonts w:ascii="Times New Roman" w:hAnsi="Times New Roman" w:eastAsia="仿宋_GB2312"/>
          <w:color w:val="000000"/>
          <w:sz w:val="28"/>
          <w:szCs w:val="28"/>
        </w:rPr>
      </w:pPr>
      <w:r>
        <w:rPr>
          <w:rFonts w:ascii="Times New Roman" w:hAnsi="Times New Roman" w:eastAsia="仿宋_GB2312"/>
          <w:color w:val="000000"/>
          <w:sz w:val="28"/>
          <w:szCs w:val="28"/>
        </w:rPr>
        <w:t>--</w:t>
      </w:r>
      <w:r>
        <w:rPr>
          <w:rFonts w:hint="eastAsia" w:ascii="Times New Roman" w:hAnsi="Times New Roman" w:eastAsia="仿宋_GB2312"/>
          <w:color w:val="000000"/>
          <w:sz w:val="28"/>
          <w:szCs w:val="28"/>
        </w:rPr>
        <w:t>大鲵省级自然保护区：陕西洛南大鲵省级自然保护区位于黄河支流伊洛河流域灵口段北岸，范围包括南洛河北岸各级支流及南洛河灵口段外围部分区域，保护区呈</w:t>
      </w:r>
      <w:r>
        <w:rPr>
          <w:rFonts w:ascii="Times New Roman" w:hAnsi="Times New Roman" w:eastAsia="仿宋_GB2312"/>
          <w:color w:val="000000"/>
          <w:sz w:val="28"/>
          <w:szCs w:val="28"/>
        </w:rPr>
        <w:t>“</w:t>
      </w:r>
      <w:r>
        <w:rPr>
          <w:rFonts w:hint="eastAsia" w:ascii="Times New Roman" w:hAnsi="Times New Roman" w:eastAsia="仿宋_GB2312"/>
          <w:color w:val="000000"/>
          <w:sz w:val="28"/>
          <w:szCs w:val="28"/>
        </w:rPr>
        <w:t>树枝状</w:t>
      </w:r>
      <w:r>
        <w:rPr>
          <w:rFonts w:ascii="Times New Roman" w:hAnsi="Times New Roman" w:eastAsia="仿宋_GB2312"/>
          <w:color w:val="000000"/>
          <w:sz w:val="28"/>
          <w:szCs w:val="28"/>
        </w:rPr>
        <w:t>”</w:t>
      </w:r>
      <w:r>
        <w:rPr>
          <w:rFonts w:hint="eastAsia" w:ascii="Times New Roman" w:hAnsi="Times New Roman" w:eastAsia="仿宋_GB2312"/>
          <w:color w:val="000000"/>
          <w:sz w:val="28"/>
          <w:szCs w:val="28"/>
        </w:rPr>
        <w:t>分布，涉及河流及其支流总长度</w:t>
      </w:r>
      <w:r>
        <w:rPr>
          <w:rFonts w:ascii="Times New Roman" w:hAnsi="Times New Roman" w:eastAsia="仿宋_GB2312"/>
          <w:color w:val="000000"/>
          <w:sz w:val="28"/>
          <w:szCs w:val="28"/>
        </w:rPr>
        <w:t>986.8</w:t>
      </w:r>
      <w:r>
        <w:rPr>
          <w:rFonts w:hint="eastAsia" w:ascii="Times New Roman" w:hAnsi="Times New Roman" w:eastAsia="仿宋_GB2312"/>
          <w:color w:val="000000"/>
          <w:sz w:val="28"/>
          <w:szCs w:val="28"/>
        </w:rPr>
        <w:t>公里</w:t>
      </w:r>
      <w:r>
        <w:rPr>
          <w:rFonts w:ascii="Times New Roman" w:hAnsi="Times New Roman" w:eastAsia="仿宋_GB2312"/>
          <w:color w:val="000000"/>
          <w:sz w:val="28"/>
          <w:szCs w:val="28"/>
        </w:rPr>
        <w:t>,</w:t>
      </w:r>
      <w:r>
        <w:rPr>
          <w:rFonts w:hint="eastAsia" w:ascii="Times New Roman" w:hAnsi="Times New Roman" w:eastAsia="仿宋_GB2312"/>
          <w:color w:val="000000"/>
          <w:sz w:val="28"/>
          <w:szCs w:val="28"/>
        </w:rPr>
        <w:t>总面积</w:t>
      </w:r>
      <w:r>
        <w:rPr>
          <w:rFonts w:ascii="Times New Roman" w:hAnsi="Times New Roman" w:eastAsia="仿宋_GB2312"/>
          <w:color w:val="000000"/>
          <w:sz w:val="28"/>
          <w:szCs w:val="28"/>
        </w:rPr>
        <w:t>5715</w:t>
      </w:r>
      <w:r>
        <w:rPr>
          <w:rFonts w:hint="eastAsia" w:ascii="Times New Roman" w:hAnsi="Times New Roman" w:eastAsia="仿宋_GB2312"/>
          <w:color w:val="000000"/>
          <w:sz w:val="28"/>
          <w:szCs w:val="28"/>
        </w:rPr>
        <w:t>公顷。</w:t>
      </w:r>
    </w:p>
    <w:p>
      <w:pPr>
        <w:pStyle w:val="2"/>
        <w:spacing w:after="0" w:line="520" w:lineRule="exact"/>
        <w:ind w:firstLine="560" w:firstLineChars="200"/>
        <w:rPr>
          <w:rFonts w:ascii="Times New Roman" w:hAnsi="Times New Roman" w:eastAsia="仿宋_GB2312"/>
          <w:color w:val="000000"/>
          <w:sz w:val="28"/>
          <w:szCs w:val="28"/>
        </w:rPr>
      </w:pPr>
      <w:r>
        <w:rPr>
          <w:rFonts w:ascii="Times New Roman" w:hAnsi="Times New Roman" w:eastAsia="仿宋_GB2312"/>
          <w:color w:val="000000"/>
          <w:sz w:val="28"/>
          <w:szCs w:val="28"/>
        </w:rPr>
        <w:t>--</w:t>
      </w:r>
      <w:r>
        <w:rPr>
          <w:rFonts w:hint="eastAsia" w:ascii="Times New Roman" w:hAnsi="Times New Roman" w:eastAsia="仿宋_GB2312"/>
          <w:color w:val="000000"/>
          <w:sz w:val="28"/>
          <w:szCs w:val="28"/>
        </w:rPr>
        <w:t>洛南黄龙铺－石门《小秦岭元古界剖面》省级自然保护点：小秦岭元古界剖面位于洛南县黄龙铺</w:t>
      </w:r>
      <w:r>
        <w:rPr>
          <w:rFonts w:ascii="Times New Roman" w:hAnsi="Times New Roman" w:eastAsia="仿宋_GB2312"/>
          <w:color w:val="000000"/>
          <w:sz w:val="28"/>
          <w:szCs w:val="28"/>
        </w:rPr>
        <w:t>-</w:t>
      </w:r>
      <w:r>
        <w:rPr>
          <w:rFonts w:hint="eastAsia" w:ascii="Times New Roman" w:hAnsi="Times New Roman" w:eastAsia="仿宋_GB2312"/>
          <w:color w:val="000000"/>
          <w:sz w:val="28"/>
          <w:szCs w:val="28"/>
        </w:rPr>
        <w:t>石门之间洛华公路附近，全长</w:t>
      </w:r>
      <w:r>
        <w:rPr>
          <w:rFonts w:ascii="Times New Roman" w:hAnsi="Times New Roman" w:eastAsia="仿宋_GB2312"/>
          <w:color w:val="000000"/>
          <w:sz w:val="28"/>
          <w:szCs w:val="28"/>
        </w:rPr>
        <w:t>20.00km</w:t>
      </w:r>
      <w:r>
        <w:rPr>
          <w:rFonts w:hint="eastAsia" w:ascii="Times New Roman" w:hAnsi="Times New Roman" w:eastAsia="仿宋_GB2312"/>
          <w:color w:val="000000"/>
          <w:sz w:val="28"/>
          <w:szCs w:val="28"/>
        </w:rPr>
        <w:t>，宽</w:t>
      </w:r>
      <w:r>
        <w:rPr>
          <w:rFonts w:ascii="Times New Roman" w:hAnsi="Times New Roman" w:eastAsia="仿宋_GB2312"/>
          <w:color w:val="000000"/>
          <w:sz w:val="28"/>
          <w:szCs w:val="28"/>
        </w:rPr>
        <w:t>50</w:t>
      </w:r>
      <w:r>
        <w:rPr>
          <w:rFonts w:hint="eastAsia" w:ascii="Times New Roman" w:hAnsi="Times New Roman" w:eastAsia="仿宋_GB2312"/>
          <w:color w:val="000000"/>
          <w:sz w:val="28"/>
          <w:szCs w:val="28"/>
        </w:rPr>
        <w:t>米，保护点面积</w:t>
      </w:r>
      <w:r>
        <w:rPr>
          <w:rFonts w:ascii="Times New Roman" w:hAnsi="Times New Roman" w:eastAsia="仿宋_GB2312"/>
          <w:color w:val="000000"/>
          <w:sz w:val="28"/>
          <w:szCs w:val="28"/>
        </w:rPr>
        <w:t>1.00km2</w:t>
      </w:r>
      <w:r>
        <w:rPr>
          <w:rFonts w:hint="eastAsia" w:ascii="Times New Roman" w:hAnsi="Times New Roman" w:eastAsia="仿宋_GB2312"/>
          <w:color w:val="000000"/>
          <w:sz w:val="28"/>
          <w:szCs w:val="28"/>
        </w:rPr>
        <w:t>，自然保护点北端位于洛南县石门镇黄龙铺村宋家沟沟口，南端至石门镇桥河村公路道班。对保护点范围周边</w:t>
      </w:r>
      <w:r>
        <w:rPr>
          <w:rFonts w:ascii="Times New Roman" w:hAnsi="Times New Roman" w:eastAsia="仿宋_GB2312"/>
          <w:color w:val="000000"/>
          <w:sz w:val="28"/>
          <w:szCs w:val="28"/>
        </w:rPr>
        <w:t>10</w:t>
      </w:r>
      <w:r>
        <w:rPr>
          <w:rFonts w:hint="eastAsia" w:ascii="Times New Roman" w:hAnsi="Times New Roman" w:eastAsia="仿宋_GB2312"/>
          <w:color w:val="000000"/>
          <w:sz w:val="28"/>
          <w:szCs w:val="28"/>
        </w:rPr>
        <w:t>米作为外围保护地带，保护点范围有</w:t>
      </w:r>
      <w:r>
        <w:rPr>
          <w:rFonts w:ascii="Times New Roman" w:hAnsi="Times New Roman" w:eastAsia="仿宋_GB2312"/>
          <w:color w:val="000000"/>
          <w:sz w:val="28"/>
          <w:szCs w:val="28"/>
        </w:rPr>
        <w:t>136</w:t>
      </w:r>
      <w:r>
        <w:rPr>
          <w:rFonts w:hint="eastAsia" w:ascii="Times New Roman" w:hAnsi="Times New Roman" w:eastAsia="仿宋_GB2312"/>
          <w:color w:val="000000"/>
          <w:sz w:val="28"/>
          <w:szCs w:val="28"/>
        </w:rPr>
        <w:t>个拐点坐标组成。剖面东侧</w:t>
      </w:r>
      <w:r>
        <w:rPr>
          <w:rFonts w:ascii="Times New Roman" w:hAnsi="Times New Roman" w:eastAsia="仿宋_GB2312"/>
          <w:color w:val="000000"/>
          <w:sz w:val="28"/>
          <w:szCs w:val="28"/>
        </w:rPr>
        <w:t>50m</w:t>
      </w:r>
      <w:r>
        <w:rPr>
          <w:rFonts w:hint="eastAsia" w:ascii="Times New Roman" w:hAnsi="Times New Roman" w:eastAsia="仿宋_GB2312"/>
          <w:color w:val="000000"/>
          <w:sz w:val="28"/>
          <w:szCs w:val="28"/>
        </w:rPr>
        <w:t>范围内不得采石、采矿，不得破坏保护标志。依据《地质遗迹保护管理规定》，对保护点实行二级保护。</w:t>
      </w:r>
    </w:p>
    <w:p>
      <w:pPr>
        <w:pStyle w:val="2"/>
        <w:spacing w:after="0" w:line="520" w:lineRule="exact"/>
        <w:ind w:firstLine="560" w:firstLineChars="200"/>
        <w:rPr>
          <w:rFonts w:ascii="Times New Roman" w:hAnsi="Times New Roman" w:eastAsia="仿宋_GB2312"/>
          <w:color w:val="000000"/>
          <w:sz w:val="28"/>
          <w:szCs w:val="28"/>
        </w:rPr>
      </w:pPr>
      <w:r>
        <w:rPr>
          <w:rFonts w:ascii="Times New Roman" w:hAnsi="Times New Roman" w:eastAsia="仿宋_GB2312"/>
          <w:color w:val="000000"/>
          <w:sz w:val="28"/>
          <w:szCs w:val="28"/>
        </w:rPr>
        <w:t>--</w:t>
      </w:r>
      <w:r>
        <w:rPr>
          <w:rFonts w:hint="eastAsia" w:ascii="Times New Roman" w:hAnsi="Times New Roman" w:eastAsia="仿宋_GB2312"/>
          <w:color w:val="000000"/>
          <w:sz w:val="28"/>
          <w:szCs w:val="28"/>
        </w:rPr>
        <w:t>县级饮用水水源保护区</w:t>
      </w:r>
      <w:r>
        <w:rPr>
          <w:rFonts w:ascii="Times New Roman" w:hAnsi="Times New Roman" w:eastAsia="仿宋_GB2312"/>
          <w:color w:val="000000"/>
          <w:sz w:val="28"/>
          <w:szCs w:val="28"/>
        </w:rPr>
        <w:t>--</w:t>
      </w:r>
      <w:r>
        <w:rPr>
          <w:rFonts w:hint="eastAsia" w:ascii="Times New Roman" w:hAnsi="Times New Roman" w:eastAsia="仿宋_GB2312"/>
          <w:color w:val="000000"/>
          <w:sz w:val="28"/>
          <w:szCs w:val="28"/>
        </w:rPr>
        <w:t>洛河上游水源保护区。</w:t>
      </w:r>
    </w:p>
    <w:p>
      <w:pPr>
        <w:pStyle w:val="2"/>
        <w:spacing w:after="0" w:line="520" w:lineRule="exact"/>
        <w:ind w:firstLine="560" w:firstLineChars="200"/>
        <w:rPr>
          <w:rFonts w:ascii="Times New Roman" w:hAnsi="Times New Roman" w:eastAsia="仿宋_GB2312"/>
          <w:color w:val="000000"/>
          <w:sz w:val="28"/>
          <w:szCs w:val="28"/>
        </w:rPr>
      </w:pPr>
      <w:r>
        <w:rPr>
          <w:rFonts w:ascii="Times New Roman" w:hAnsi="Times New Roman" w:eastAsia="仿宋_GB2312"/>
          <w:color w:val="000000"/>
          <w:sz w:val="28"/>
          <w:szCs w:val="28"/>
        </w:rPr>
        <w:t>--</w:t>
      </w:r>
      <w:r>
        <w:rPr>
          <w:rFonts w:hint="eastAsia" w:ascii="Times New Roman" w:hAnsi="Times New Roman" w:eastAsia="仿宋_GB2312"/>
          <w:color w:val="000000"/>
          <w:sz w:val="28"/>
          <w:szCs w:val="28"/>
        </w:rPr>
        <w:t>陕西洛南洛河国家湿地公园（试点）：湿地</w:t>
      </w:r>
      <w:r>
        <w:rPr>
          <w:rFonts w:hint="eastAsia" w:ascii="Times New Roman" w:hAnsi="Times New Roman" w:eastAsia="仿宋_GB2312"/>
          <w:color w:val="000000"/>
          <w:sz w:val="28"/>
          <w:szCs w:val="28"/>
          <w:lang w:eastAsia="zh-CN"/>
        </w:rPr>
        <w:t>公园</w:t>
      </w:r>
      <w:r>
        <w:rPr>
          <w:rFonts w:hint="eastAsia" w:ascii="Times New Roman" w:hAnsi="Times New Roman" w:eastAsia="仿宋_GB2312"/>
          <w:color w:val="000000"/>
          <w:sz w:val="28"/>
          <w:szCs w:val="28"/>
        </w:rPr>
        <w:t>西起洛南县界</w:t>
      </w:r>
      <w:r>
        <w:rPr>
          <w:rFonts w:ascii="Times New Roman" w:hAnsi="Times New Roman" w:eastAsia="仿宋_GB2312"/>
          <w:color w:val="000000"/>
          <w:sz w:val="28"/>
          <w:szCs w:val="28"/>
        </w:rPr>
        <w:t>,</w:t>
      </w:r>
      <w:r>
        <w:rPr>
          <w:rFonts w:hint="eastAsia" w:ascii="Times New Roman" w:hAnsi="Times New Roman" w:eastAsia="仿宋_GB2312"/>
          <w:color w:val="000000"/>
          <w:sz w:val="28"/>
          <w:szCs w:val="28"/>
        </w:rPr>
        <w:t>东止大鲵保护区</w:t>
      </w:r>
      <w:r>
        <w:rPr>
          <w:rFonts w:ascii="Times New Roman" w:hAnsi="Times New Roman" w:eastAsia="仿宋_GB2312"/>
          <w:color w:val="000000"/>
          <w:sz w:val="28"/>
          <w:szCs w:val="28"/>
        </w:rPr>
        <w:t>,</w:t>
      </w:r>
      <w:r>
        <w:rPr>
          <w:rFonts w:hint="eastAsia" w:ascii="Times New Roman" w:hAnsi="Times New Roman" w:eastAsia="仿宋_GB2312"/>
          <w:color w:val="000000"/>
          <w:sz w:val="28"/>
          <w:szCs w:val="28"/>
        </w:rPr>
        <w:t>南北两侧以滨河路、一级阶地、河岸线及耕地为界</w:t>
      </w:r>
      <w:r>
        <w:rPr>
          <w:rFonts w:ascii="Times New Roman" w:hAnsi="Times New Roman" w:eastAsia="仿宋_GB2312"/>
          <w:color w:val="000000"/>
          <w:sz w:val="28"/>
          <w:szCs w:val="28"/>
        </w:rPr>
        <w:t>(</w:t>
      </w:r>
      <w:r>
        <w:rPr>
          <w:rFonts w:hint="eastAsia" w:ascii="Times New Roman" w:hAnsi="Times New Roman" w:eastAsia="仿宋_GB2312"/>
          <w:color w:val="000000"/>
          <w:sz w:val="28"/>
          <w:szCs w:val="28"/>
        </w:rPr>
        <w:t>河岸两侧无滨河路及耕地的地段</w:t>
      </w:r>
      <w:r>
        <w:rPr>
          <w:rFonts w:ascii="Times New Roman" w:hAnsi="Times New Roman" w:eastAsia="仿宋_GB2312"/>
          <w:color w:val="000000"/>
          <w:sz w:val="28"/>
          <w:szCs w:val="28"/>
        </w:rPr>
        <w:t>,</w:t>
      </w:r>
      <w:r>
        <w:rPr>
          <w:rFonts w:hint="eastAsia" w:ascii="Times New Roman" w:hAnsi="Times New Roman" w:eastAsia="仿宋_GB2312"/>
          <w:color w:val="000000"/>
          <w:sz w:val="28"/>
          <w:szCs w:val="28"/>
        </w:rPr>
        <w:t>公园界线延伸至第一层山脊线</w:t>
      </w:r>
      <w:r>
        <w:rPr>
          <w:rFonts w:ascii="Times New Roman" w:hAnsi="Times New Roman" w:eastAsia="仿宋_GB2312"/>
          <w:color w:val="000000"/>
          <w:sz w:val="28"/>
          <w:szCs w:val="28"/>
        </w:rPr>
        <w:t>),</w:t>
      </w:r>
      <w:r>
        <w:rPr>
          <w:rFonts w:hint="eastAsia" w:ascii="Times New Roman" w:hAnsi="Times New Roman" w:eastAsia="仿宋_GB2312"/>
          <w:color w:val="000000"/>
          <w:sz w:val="28"/>
          <w:szCs w:val="28"/>
        </w:rPr>
        <w:t>包括洛河及其主要支流</w:t>
      </w:r>
      <w:r>
        <w:rPr>
          <w:rFonts w:ascii="Times New Roman" w:hAnsi="Times New Roman" w:eastAsia="仿宋_GB2312"/>
          <w:color w:val="000000"/>
          <w:sz w:val="28"/>
          <w:szCs w:val="28"/>
        </w:rPr>
        <w:t>,</w:t>
      </w:r>
      <w:r>
        <w:rPr>
          <w:rFonts w:hint="eastAsia" w:ascii="Times New Roman" w:hAnsi="Times New Roman" w:eastAsia="仿宋_GB2312"/>
          <w:color w:val="000000"/>
          <w:sz w:val="28"/>
          <w:szCs w:val="28"/>
        </w:rPr>
        <w:t>公园土地总面积</w:t>
      </w:r>
      <w:r>
        <w:rPr>
          <w:rFonts w:ascii="Times New Roman" w:hAnsi="Times New Roman" w:eastAsia="仿宋_GB2312"/>
          <w:color w:val="000000"/>
          <w:sz w:val="28"/>
          <w:szCs w:val="28"/>
        </w:rPr>
        <w:t>1294.34</w:t>
      </w:r>
      <w:r>
        <w:rPr>
          <w:rFonts w:hint="eastAsia" w:ascii="Times New Roman" w:hAnsi="Times New Roman" w:eastAsia="仿宋_GB2312"/>
          <w:color w:val="000000"/>
          <w:sz w:val="28"/>
          <w:szCs w:val="28"/>
        </w:rPr>
        <w:t>公顷</w:t>
      </w:r>
      <w:r>
        <w:rPr>
          <w:rFonts w:ascii="Times New Roman" w:hAnsi="Times New Roman" w:eastAsia="仿宋_GB2312"/>
          <w:color w:val="000000"/>
          <w:sz w:val="28"/>
          <w:szCs w:val="28"/>
        </w:rPr>
        <w:t>,</w:t>
      </w:r>
      <w:r>
        <w:rPr>
          <w:rFonts w:hint="eastAsia" w:ascii="Times New Roman" w:hAnsi="Times New Roman" w:eastAsia="仿宋_GB2312"/>
          <w:color w:val="000000"/>
          <w:sz w:val="28"/>
          <w:szCs w:val="28"/>
        </w:rPr>
        <w:t>湿地面积</w:t>
      </w:r>
      <w:r>
        <w:rPr>
          <w:rFonts w:ascii="Times New Roman" w:hAnsi="Times New Roman" w:eastAsia="仿宋_GB2312"/>
          <w:color w:val="000000"/>
          <w:sz w:val="28"/>
          <w:szCs w:val="28"/>
        </w:rPr>
        <w:t>457.00</w:t>
      </w:r>
      <w:r>
        <w:rPr>
          <w:rFonts w:hint="eastAsia" w:ascii="Times New Roman" w:hAnsi="Times New Roman" w:eastAsia="仿宋_GB2312"/>
          <w:color w:val="000000"/>
          <w:sz w:val="28"/>
          <w:szCs w:val="28"/>
        </w:rPr>
        <w:t>顷</w:t>
      </w:r>
      <w:r>
        <w:rPr>
          <w:rFonts w:ascii="Times New Roman" w:hAnsi="Times New Roman" w:eastAsia="仿宋_GB2312"/>
          <w:color w:val="000000"/>
          <w:sz w:val="28"/>
          <w:szCs w:val="28"/>
        </w:rPr>
        <w:t>,</w:t>
      </w:r>
      <w:r>
        <w:rPr>
          <w:rFonts w:hint="eastAsia" w:ascii="Times New Roman" w:hAnsi="Times New Roman" w:eastAsia="仿宋_GB2312"/>
          <w:color w:val="000000"/>
          <w:sz w:val="28"/>
          <w:szCs w:val="28"/>
        </w:rPr>
        <w:t>占总面积</w:t>
      </w:r>
      <w:r>
        <w:rPr>
          <w:rFonts w:ascii="Times New Roman" w:hAnsi="Times New Roman" w:eastAsia="仿宋_GB2312"/>
          <w:color w:val="000000"/>
          <w:sz w:val="28"/>
          <w:szCs w:val="28"/>
        </w:rPr>
        <w:t>35.31%.</w:t>
      </w:r>
    </w:p>
    <w:p>
      <w:pPr>
        <w:pStyle w:val="2"/>
        <w:spacing w:after="0" w:line="520" w:lineRule="exact"/>
        <w:ind w:firstLine="560" w:firstLineChars="200"/>
        <w:rPr>
          <w:rFonts w:ascii="Times New Roman" w:hAnsi="Times New Roman" w:eastAsia="仿宋_GB2312"/>
          <w:color w:val="000000"/>
          <w:sz w:val="28"/>
          <w:szCs w:val="28"/>
        </w:rPr>
      </w:pPr>
      <w:r>
        <w:rPr>
          <w:rFonts w:ascii="Times New Roman" w:hAnsi="Times New Roman" w:eastAsia="仿宋_GB2312"/>
          <w:color w:val="000000"/>
          <w:sz w:val="28"/>
          <w:szCs w:val="28"/>
        </w:rPr>
        <w:t>--</w:t>
      </w:r>
      <w:r>
        <w:rPr>
          <w:rFonts w:hint="eastAsia" w:ascii="Times New Roman" w:hAnsi="Times New Roman" w:eastAsia="仿宋_GB2312"/>
          <w:color w:val="000000"/>
          <w:sz w:val="28"/>
          <w:szCs w:val="28"/>
        </w:rPr>
        <w:t>国家级重点公益林保护区：总面积</w:t>
      </w:r>
      <w:r>
        <w:rPr>
          <w:rFonts w:ascii="Times New Roman" w:hAnsi="Times New Roman" w:eastAsia="仿宋_GB2312"/>
          <w:color w:val="000000"/>
          <w:sz w:val="28"/>
          <w:szCs w:val="28"/>
        </w:rPr>
        <w:t>130.8</w:t>
      </w:r>
      <w:r>
        <w:rPr>
          <w:rFonts w:hint="eastAsia" w:ascii="Times New Roman" w:hAnsi="Times New Roman" w:eastAsia="仿宋_GB2312"/>
          <w:color w:val="000000"/>
          <w:sz w:val="28"/>
          <w:szCs w:val="28"/>
        </w:rPr>
        <w:t>万亩，均属天保工程区內，其中江河源头</w:t>
      </w:r>
      <w:r>
        <w:rPr>
          <w:rFonts w:ascii="Times New Roman" w:hAnsi="Times New Roman" w:eastAsia="仿宋_GB2312"/>
          <w:color w:val="000000"/>
          <w:sz w:val="28"/>
          <w:szCs w:val="28"/>
        </w:rPr>
        <w:t>12.54</w:t>
      </w:r>
      <w:r>
        <w:rPr>
          <w:rFonts w:hint="eastAsia" w:ascii="Times New Roman" w:hAnsi="Times New Roman" w:eastAsia="仿宋_GB2312"/>
          <w:color w:val="000000"/>
          <w:sz w:val="28"/>
          <w:szCs w:val="28"/>
        </w:rPr>
        <w:t>万亩，江河两岸</w:t>
      </w:r>
      <w:r>
        <w:rPr>
          <w:rFonts w:ascii="Times New Roman" w:hAnsi="Times New Roman" w:eastAsia="仿宋_GB2312"/>
          <w:color w:val="000000"/>
          <w:sz w:val="28"/>
          <w:szCs w:val="28"/>
        </w:rPr>
        <w:t>28.77</w:t>
      </w:r>
      <w:r>
        <w:rPr>
          <w:rFonts w:hint="eastAsia" w:ascii="Times New Roman" w:hAnsi="Times New Roman" w:eastAsia="仿宋_GB2312"/>
          <w:color w:val="000000"/>
          <w:sz w:val="28"/>
          <w:szCs w:val="28"/>
        </w:rPr>
        <w:t>万亩，秦岭生态保护区</w:t>
      </w:r>
      <w:r>
        <w:rPr>
          <w:rFonts w:ascii="Times New Roman" w:hAnsi="Times New Roman" w:eastAsia="仿宋_GB2312"/>
          <w:color w:val="000000"/>
          <w:sz w:val="28"/>
          <w:szCs w:val="28"/>
        </w:rPr>
        <w:t>89.49</w:t>
      </w:r>
      <w:r>
        <w:rPr>
          <w:rFonts w:hint="eastAsia" w:ascii="Times New Roman" w:hAnsi="Times New Roman" w:eastAsia="仿宋_GB2312"/>
          <w:color w:val="000000"/>
          <w:sz w:val="28"/>
          <w:szCs w:val="28"/>
        </w:rPr>
        <w:t>万亩。</w:t>
      </w:r>
    </w:p>
    <w:p>
      <w:pPr>
        <w:pStyle w:val="2"/>
        <w:spacing w:after="0" w:line="520" w:lineRule="exact"/>
        <w:ind w:firstLine="560" w:firstLineChars="200"/>
        <w:rPr>
          <w:rFonts w:ascii="Times New Roman" w:hAnsi="Times New Roman" w:eastAsia="仿宋_GB2312"/>
          <w:color w:val="000000"/>
          <w:sz w:val="28"/>
          <w:szCs w:val="28"/>
        </w:rPr>
      </w:pPr>
      <w:r>
        <w:rPr>
          <w:rFonts w:ascii="Times New Roman" w:hAnsi="Times New Roman" w:eastAsia="仿宋_GB2312"/>
          <w:color w:val="000000"/>
          <w:sz w:val="28"/>
          <w:szCs w:val="28"/>
        </w:rPr>
        <w:t>--</w:t>
      </w:r>
      <w:r>
        <w:rPr>
          <w:rFonts w:hint="eastAsia" w:ascii="Times New Roman" w:hAnsi="Times New Roman" w:eastAsia="仿宋_GB2312"/>
          <w:color w:val="000000"/>
          <w:sz w:val="28"/>
          <w:szCs w:val="28"/>
        </w:rPr>
        <w:t>花石浪遗址：花石浪遗址位于洛南县城北</w:t>
      </w:r>
      <w:r>
        <w:rPr>
          <w:rFonts w:ascii="Times New Roman" w:hAnsi="Times New Roman" w:eastAsia="仿宋_GB2312"/>
          <w:color w:val="000000"/>
          <w:sz w:val="28"/>
          <w:szCs w:val="28"/>
        </w:rPr>
        <w:t>3</w:t>
      </w:r>
      <w:r>
        <w:rPr>
          <w:rFonts w:hint="eastAsia" w:ascii="Times New Roman" w:hAnsi="Times New Roman" w:eastAsia="仿宋_GB2312"/>
          <w:color w:val="000000"/>
          <w:sz w:val="28"/>
          <w:szCs w:val="28"/>
        </w:rPr>
        <w:t>公里之县河、石门河、洛河三段交汇的尖角村东河花石浪山上。在花石浪东面的山坡上，有一个高约</w:t>
      </w:r>
      <w:r>
        <w:rPr>
          <w:rFonts w:ascii="Times New Roman" w:hAnsi="Times New Roman" w:eastAsia="仿宋_GB2312"/>
          <w:color w:val="000000"/>
          <w:sz w:val="28"/>
          <w:szCs w:val="28"/>
        </w:rPr>
        <w:t>4</w:t>
      </w:r>
      <w:r>
        <w:rPr>
          <w:rFonts w:hint="eastAsia" w:ascii="Times New Roman" w:hAnsi="Times New Roman" w:eastAsia="仿宋_GB2312"/>
          <w:color w:val="000000"/>
          <w:sz w:val="28"/>
          <w:szCs w:val="28"/>
        </w:rPr>
        <w:t>米、宽约</w:t>
      </w:r>
      <w:r>
        <w:rPr>
          <w:rFonts w:ascii="Times New Roman" w:hAnsi="Times New Roman" w:eastAsia="仿宋_GB2312"/>
          <w:color w:val="000000"/>
          <w:sz w:val="28"/>
          <w:szCs w:val="28"/>
        </w:rPr>
        <w:t>2</w:t>
      </w:r>
      <w:r>
        <w:rPr>
          <w:rFonts w:hint="eastAsia" w:ascii="Times New Roman" w:hAnsi="Times New Roman" w:eastAsia="仿宋_GB2312"/>
          <w:color w:val="000000"/>
          <w:sz w:val="28"/>
          <w:szCs w:val="28"/>
        </w:rPr>
        <w:t>米，洞深</w:t>
      </w:r>
      <w:r>
        <w:rPr>
          <w:rFonts w:ascii="Times New Roman" w:hAnsi="Times New Roman" w:eastAsia="仿宋_GB2312"/>
          <w:color w:val="000000"/>
          <w:sz w:val="28"/>
          <w:szCs w:val="28"/>
        </w:rPr>
        <w:t>8.8</w:t>
      </w:r>
      <w:r>
        <w:rPr>
          <w:rFonts w:hint="eastAsia" w:ascii="Times New Roman" w:hAnsi="Times New Roman" w:eastAsia="仿宋_GB2312"/>
          <w:color w:val="000000"/>
          <w:sz w:val="28"/>
          <w:szCs w:val="28"/>
        </w:rPr>
        <w:t>米，面积约</w:t>
      </w:r>
      <w:r>
        <w:rPr>
          <w:rFonts w:ascii="Times New Roman" w:hAnsi="Times New Roman" w:eastAsia="仿宋_GB2312"/>
          <w:color w:val="000000"/>
          <w:sz w:val="28"/>
          <w:szCs w:val="28"/>
        </w:rPr>
        <w:t>20</w:t>
      </w:r>
      <w:r>
        <w:rPr>
          <w:rFonts w:hint="eastAsia" w:ascii="Times New Roman" w:hAnsi="Times New Roman" w:eastAsia="仿宋_GB2312"/>
          <w:color w:val="000000"/>
          <w:sz w:val="28"/>
          <w:szCs w:val="28"/>
        </w:rPr>
        <w:t>平方米。中心地理坐标：东经</w:t>
      </w:r>
      <w:r>
        <w:rPr>
          <w:rFonts w:ascii="Times New Roman" w:hAnsi="Times New Roman" w:eastAsia="仿宋_GB2312"/>
          <w:color w:val="000000"/>
          <w:sz w:val="28"/>
          <w:szCs w:val="28"/>
        </w:rPr>
        <w:t> 110°9'35.84"</w:t>
      </w:r>
      <w:r>
        <w:rPr>
          <w:rFonts w:hint="eastAsia" w:ascii="Times New Roman" w:hAnsi="Times New Roman" w:eastAsia="仿宋_GB2312"/>
          <w:color w:val="000000"/>
          <w:sz w:val="28"/>
          <w:szCs w:val="28"/>
        </w:rPr>
        <w:t>，北纬</w:t>
      </w:r>
      <w:r>
        <w:rPr>
          <w:rFonts w:ascii="Times New Roman" w:hAnsi="Times New Roman" w:eastAsia="仿宋_GB2312"/>
          <w:color w:val="000000"/>
          <w:sz w:val="28"/>
          <w:szCs w:val="28"/>
        </w:rPr>
        <w:t> 34°7'34.19"</w:t>
      </w:r>
      <w:r>
        <w:rPr>
          <w:rFonts w:hint="eastAsia" w:ascii="Times New Roman" w:hAnsi="Times New Roman" w:eastAsia="仿宋_GB2312"/>
          <w:color w:val="000000"/>
          <w:sz w:val="28"/>
          <w:szCs w:val="28"/>
        </w:rPr>
        <w:t>。</w:t>
      </w:r>
    </w:p>
    <w:p>
      <w:pPr>
        <w:pStyle w:val="2"/>
        <w:spacing w:after="0" w:line="520" w:lineRule="exact"/>
        <w:ind w:firstLine="560" w:firstLineChars="200"/>
        <w:rPr>
          <w:rFonts w:ascii="Times New Roman" w:hAnsi="Times New Roman" w:eastAsia="仿宋_GB2312"/>
          <w:color w:val="000000"/>
          <w:sz w:val="28"/>
          <w:szCs w:val="28"/>
        </w:rPr>
      </w:pPr>
      <w:r>
        <w:rPr>
          <w:rFonts w:ascii="Times New Roman" w:hAnsi="Times New Roman" w:eastAsia="仿宋_GB2312"/>
          <w:color w:val="000000"/>
          <w:sz w:val="28"/>
          <w:szCs w:val="28"/>
        </w:rPr>
        <w:t>--</w:t>
      </w:r>
      <w:r>
        <w:rPr>
          <w:rFonts w:hint="eastAsia" w:ascii="Times New Roman" w:hAnsi="Times New Roman" w:eastAsia="仿宋_GB2312"/>
          <w:color w:val="000000"/>
          <w:sz w:val="28"/>
          <w:szCs w:val="28"/>
        </w:rPr>
        <w:t>洛南盆地旧石器地点群：位于陕西省洛南县，介于东经</w:t>
      </w:r>
      <w:r>
        <w:rPr>
          <w:rFonts w:ascii="Times New Roman" w:hAnsi="Times New Roman" w:eastAsia="仿宋_GB2312"/>
          <w:color w:val="000000"/>
          <w:sz w:val="28"/>
          <w:szCs w:val="28"/>
        </w:rPr>
        <w:t>109°44′10″—110°40′06″</w:t>
      </w:r>
      <w:r>
        <w:rPr>
          <w:rFonts w:hint="eastAsia" w:ascii="Times New Roman" w:hAnsi="Times New Roman" w:eastAsia="仿宋_GB2312"/>
          <w:color w:val="000000"/>
          <w:sz w:val="28"/>
          <w:szCs w:val="28"/>
        </w:rPr>
        <w:t>，北纬</w:t>
      </w:r>
      <w:r>
        <w:rPr>
          <w:rFonts w:ascii="Times New Roman" w:hAnsi="Times New Roman" w:eastAsia="仿宋_GB2312"/>
          <w:color w:val="000000"/>
          <w:sz w:val="28"/>
          <w:szCs w:val="28"/>
        </w:rPr>
        <w:t>33°52′00″—34°25′58″</w:t>
      </w:r>
      <w:r>
        <w:rPr>
          <w:rFonts w:hint="eastAsia" w:ascii="Times New Roman" w:hAnsi="Times New Roman" w:eastAsia="仿宋_GB2312"/>
          <w:color w:val="000000"/>
          <w:sz w:val="28"/>
          <w:szCs w:val="28"/>
        </w:rPr>
        <w:t>之间。野外旧石器地点分布于南洛河及其支流第二级及其以上的高阶地上。截至</w:t>
      </w:r>
      <w:r>
        <w:rPr>
          <w:rFonts w:ascii="Times New Roman" w:hAnsi="Times New Roman" w:eastAsia="仿宋_GB2312"/>
          <w:color w:val="000000"/>
          <w:sz w:val="28"/>
          <w:szCs w:val="28"/>
        </w:rPr>
        <w:t>2004</w:t>
      </w:r>
      <w:r>
        <w:rPr>
          <w:rFonts w:hint="eastAsia" w:ascii="Times New Roman" w:hAnsi="Times New Roman" w:eastAsia="仿宋_GB2312"/>
          <w:color w:val="000000"/>
          <w:sz w:val="28"/>
          <w:szCs w:val="28"/>
        </w:rPr>
        <w:t>年</w:t>
      </w:r>
      <w:r>
        <w:rPr>
          <w:rFonts w:ascii="Times New Roman" w:hAnsi="Times New Roman" w:eastAsia="仿宋_GB2312"/>
          <w:color w:val="000000"/>
          <w:sz w:val="28"/>
          <w:szCs w:val="28"/>
        </w:rPr>
        <w:t>2</w:t>
      </w:r>
      <w:r>
        <w:rPr>
          <w:rFonts w:hint="eastAsia" w:ascii="Times New Roman" w:hAnsi="Times New Roman" w:eastAsia="仿宋_GB2312"/>
          <w:color w:val="000000"/>
          <w:sz w:val="28"/>
          <w:szCs w:val="28"/>
        </w:rPr>
        <w:t>月下旬为止，共发现旷野类型旧石器地点</w:t>
      </w:r>
      <w:r>
        <w:rPr>
          <w:rFonts w:ascii="Times New Roman" w:hAnsi="Times New Roman" w:eastAsia="仿宋_GB2312"/>
          <w:color w:val="000000"/>
          <w:sz w:val="28"/>
          <w:szCs w:val="28"/>
        </w:rPr>
        <w:t>268</w:t>
      </w:r>
      <w:r>
        <w:rPr>
          <w:rFonts w:hint="eastAsia" w:ascii="Times New Roman" w:hAnsi="Times New Roman" w:eastAsia="仿宋_GB2312"/>
          <w:color w:val="000000"/>
          <w:sz w:val="28"/>
          <w:szCs w:val="28"/>
        </w:rPr>
        <w:t>处。</w:t>
      </w:r>
    </w:p>
    <w:p>
      <w:pPr>
        <w:pStyle w:val="2"/>
        <w:spacing w:after="0" w:line="520" w:lineRule="exact"/>
        <w:ind w:firstLine="560" w:firstLineChars="200"/>
        <w:rPr>
          <w:rFonts w:ascii="Times New Roman" w:hAnsi="Times New Roman" w:eastAsia="仿宋_GB2312"/>
          <w:color w:val="000000"/>
          <w:sz w:val="28"/>
          <w:szCs w:val="28"/>
        </w:rPr>
      </w:pPr>
      <w:r>
        <w:rPr>
          <w:rFonts w:ascii="Times New Roman" w:hAnsi="Times New Roman" w:eastAsia="仿宋_GB2312"/>
          <w:color w:val="000000"/>
          <w:sz w:val="28"/>
          <w:szCs w:val="28"/>
        </w:rPr>
        <w:t>--</w:t>
      </w:r>
      <w:r>
        <w:rPr>
          <w:rFonts w:hint="eastAsia" w:ascii="Times New Roman" w:hAnsi="Times New Roman" w:eastAsia="仿宋_GB2312"/>
          <w:color w:val="000000"/>
          <w:sz w:val="28"/>
          <w:szCs w:val="28"/>
        </w:rPr>
        <w:t>洛南文庙：始建于明洪武三年（</w:t>
      </w:r>
      <w:r>
        <w:rPr>
          <w:rFonts w:ascii="Times New Roman" w:hAnsi="Times New Roman" w:eastAsia="仿宋_GB2312"/>
          <w:color w:val="000000"/>
          <w:sz w:val="28"/>
          <w:szCs w:val="28"/>
        </w:rPr>
        <w:t>1370</w:t>
      </w:r>
      <w:r>
        <w:rPr>
          <w:rFonts w:hint="eastAsia" w:ascii="Times New Roman" w:hAnsi="Times New Roman" w:eastAsia="仿宋_GB2312"/>
          <w:color w:val="000000"/>
          <w:sz w:val="28"/>
          <w:szCs w:val="28"/>
        </w:rPr>
        <w:t>年），坐落于洛南县城中街西段，建筑占地面积</w:t>
      </w:r>
      <w:r>
        <w:rPr>
          <w:rFonts w:ascii="Times New Roman" w:hAnsi="Times New Roman" w:eastAsia="仿宋_GB2312"/>
          <w:color w:val="000000"/>
          <w:sz w:val="28"/>
          <w:szCs w:val="28"/>
        </w:rPr>
        <w:t>3115</w:t>
      </w:r>
      <w:r>
        <w:rPr>
          <w:rFonts w:hint="eastAsia" w:ascii="Times New Roman" w:hAnsi="Times New Roman" w:eastAsia="仿宋_GB2312"/>
          <w:color w:val="000000"/>
          <w:sz w:val="28"/>
          <w:szCs w:val="28"/>
        </w:rPr>
        <w:t>平方米，为纵轴式古建筑群，分前、中、后三院。棂星门为其牌楼。现为县博物馆所在地，内有珍贵的馆藏文物</w:t>
      </w:r>
      <w:r>
        <w:rPr>
          <w:rFonts w:ascii="Times New Roman" w:hAnsi="Times New Roman" w:eastAsia="仿宋_GB2312"/>
          <w:color w:val="000000"/>
          <w:sz w:val="28"/>
          <w:szCs w:val="28"/>
        </w:rPr>
        <w:t>3400</w:t>
      </w:r>
      <w:r>
        <w:rPr>
          <w:rFonts w:hint="eastAsia" w:ascii="Times New Roman" w:hAnsi="Times New Roman" w:eastAsia="仿宋_GB2312"/>
          <w:color w:val="000000"/>
          <w:sz w:val="28"/>
          <w:szCs w:val="28"/>
        </w:rPr>
        <w:t>多件。</w:t>
      </w:r>
    </w:p>
    <w:p>
      <w:pPr>
        <w:pStyle w:val="2"/>
        <w:spacing w:after="0" w:line="520" w:lineRule="exact"/>
        <w:ind w:firstLine="560" w:firstLineChars="200"/>
        <w:rPr>
          <w:rFonts w:ascii="Times New Roman" w:hAnsi="Times New Roman" w:eastAsia="仿宋_GB2312"/>
          <w:color w:val="000000"/>
          <w:sz w:val="28"/>
          <w:szCs w:val="28"/>
        </w:rPr>
      </w:pPr>
      <w:r>
        <w:rPr>
          <w:rFonts w:ascii="Times New Roman" w:hAnsi="Times New Roman" w:eastAsia="仿宋_GB2312"/>
          <w:color w:val="000000"/>
          <w:sz w:val="28"/>
          <w:szCs w:val="28"/>
        </w:rPr>
        <w:t>--</w:t>
      </w:r>
      <w:r>
        <w:rPr>
          <w:rFonts w:hint="eastAsia" w:ascii="Times New Roman" w:hAnsi="Times New Roman" w:eastAsia="仿宋_GB2312"/>
          <w:color w:val="000000"/>
          <w:sz w:val="28"/>
          <w:szCs w:val="28"/>
        </w:rPr>
        <w:t>西寺墓群：西寺墓群位于洛南县城关街道办事处西寺社区东岭子，</w:t>
      </w:r>
      <w:r>
        <w:rPr>
          <w:rFonts w:hint="eastAsia" w:ascii="Times New Roman" w:hAnsi="Times New Roman" w:eastAsia="仿宋_GB2312"/>
          <w:color w:val="000000"/>
          <w:spacing w:val="-10"/>
          <w:sz w:val="28"/>
          <w:szCs w:val="28"/>
        </w:rPr>
        <w:t>地理坐标为东经</w:t>
      </w:r>
      <w:r>
        <w:rPr>
          <w:rFonts w:ascii="Times New Roman" w:hAnsi="Times New Roman" w:eastAsia="仿宋_GB2312"/>
          <w:color w:val="000000"/>
          <w:spacing w:val="-10"/>
          <w:sz w:val="28"/>
          <w:szCs w:val="28"/>
        </w:rPr>
        <w:t> 110°08′24″</w:t>
      </w:r>
      <w:r>
        <w:rPr>
          <w:rFonts w:hint="eastAsia" w:ascii="Times New Roman" w:hAnsi="Times New Roman" w:eastAsia="仿宋_GB2312"/>
          <w:color w:val="000000"/>
          <w:spacing w:val="-10"/>
          <w:sz w:val="28"/>
          <w:szCs w:val="28"/>
        </w:rPr>
        <w:t>，</w:t>
      </w:r>
      <w:r>
        <w:rPr>
          <w:rFonts w:ascii="Times New Roman" w:hAnsi="Times New Roman" w:eastAsia="仿宋_GB2312"/>
          <w:color w:val="000000"/>
          <w:spacing w:val="-10"/>
          <w:sz w:val="28"/>
          <w:szCs w:val="28"/>
        </w:rPr>
        <w:t> </w:t>
      </w:r>
      <w:r>
        <w:rPr>
          <w:rFonts w:hint="eastAsia" w:ascii="Times New Roman" w:hAnsi="Times New Roman" w:eastAsia="仿宋_GB2312"/>
          <w:color w:val="000000"/>
          <w:spacing w:val="-10"/>
          <w:sz w:val="28"/>
          <w:szCs w:val="28"/>
        </w:rPr>
        <w:t>北纬</w:t>
      </w:r>
      <w:r>
        <w:rPr>
          <w:rFonts w:ascii="Times New Roman" w:hAnsi="Times New Roman" w:eastAsia="仿宋_GB2312"/>
          <w:color w:val="000000"/>
          <w:spacing w:val="-10"/>
          <w:sz w:val="28"/>
          <w:szCs w:val="28"/>
        </w:rPr>
        <w:t> 34°05′28″</w:t>
      </w:r>
      <w:r>
        <w:rPr>
          <w:rFonts w:hint="eastAsia" w:ascii="Times New Roman" w:hAnsi="Times New Roman" w:eastAsia="仿宋_GB2312"/>
          <w:color w:val="000000"/>
          <w:spacing w:val="-10"/>
          <w:sz w:val="28"/>
          <w:szCs w:val="28"/>
        </w:rPr>
        <w:t>，墓葬年代为春秋至战国时期。</w:t>
      </w:r>
      <w:r>
        <w:rPr>
          <w:rFonts w:ascii="Times New Roman" w:hAnsi="Times New Roman" w:eastAsia="仿宋_GB2312"/>
          <w:color w:val="000000"/>
          <w:spacing w:val="-10"/>
          <w:sz w:val="28"/>
          <w:szCs w:val="28"/>
        </w:rPr>
        <w:t> </w:t>
      </w:r>
    </w:p>
    <w:p>
      <w:pPr>
        <w:pStyle w:val="2"/>
        <w:spacing w:after="0" w:line="520" w:lineRule="exact"/>
        <w:ind w:firstLine="560" w:firstLineChars="200"/>
        <w:rPr>
          <w:rFonts w:ascii="Times New Roman" w:hAnsi="Times New Roman" w:eastAsia="仿宋_GB2312"/>
          <w:color w:val="000000"/>
          <w:sz w:val="28"/>
          <w:szCs w:val="28"/>
        </w:rPr>
      </w:pPr>
      <w:r>
        <w:rPr>
          <w:rFonts w:ascii="Times New Roman" w:hAnsi="Times New Roman" w:eastAsia="仿宋_GB2312"/>
          <w:color w:val="000000"/>
          <w:sz w:val="28"/>
          <w:szCs w:val="28"/>
        </w:rPr>
        <w:t>--</w:t>
      </w:r>
      <w:r>
        <w:rPr>
          <w:rFonts w:hint="eastAsia" w:ascii="Times New Roman" w:hAnsi="Times New Roman" w:eastAsia="仿宋_GB2312"/>
          <w:color w:val="000000"/>
          <w:sz w:val="28"/>
          <w:szCs w:val="28"/>
        </w:rPr>
        <w:t>洛南华严寺：洛南华严寺位于洛南县巡检镇三元村秦岭脚下，坐北向南。东侧、北侧紧邻山体，西侧、南侧为附近村民开垦的农田。华严寺院落南北总长</w:t>
      </w:r>
      <w:r>
        <w:rPr>
          <w:rFonts w:ascii="Times New Roman" w:hAnsi="Times New Roman" w:eastAsia="仿宋_GB2312"/>
          <w:color w:val="000000"/>
          <w:sz w:val="28"/>
          <w:szCs w:val="28"/>
        </w:rPr>
        <w:t> 51.93 </w:t>
      </w:r>
      <w:r>
        <w:rPr>
          <w:rFonts w:hint="eastAsia" w:ascii="Times New Roman" w:hAnsi="Times New Roman" w:eastAsia="仿宋_GB2312"/>
          <w:color w:val="000000"/>
          <w:sz w:val="28"/>
          <w:szCs w:val="28"/>
        </w:rPr>
        <w:t>米，东西总宽</w:t>
      </w:r>
      <w:r>
        <w:rPr>
          <w:rFonts w:ascii="Times New Roman" w:hAnsi="Times New Roman" w:eastAsia="仿宋_GB2312"/>
          <w:color w:val="000000"/>
          <w:sz w:val="28"/>
          <w:szCs w:val="28"/>
        </w:rPr>
        <w:t> 18.15 </w:t>
      </w:r>
      <w:r>
        <w:rPr>
          <w:rFonts w:hint="eastAsia" w:ascii="Times New Roman" w:hAnsi="Times New Roman" w:eastAsia="仿宋_GB2312"/>
          <w:color w:val="000000"/>
          <w:sz w:val="28"/>
          <w:szCs w:val="28"/>
        </w:rPr>
        <w:t>米，占地面积</w:t>
      </w:r>
      <w:r>
        <w:rPr>
          <w:rFonts w:ascii="Times New Roman" w:hAnsi="Times New Roman" w:eastAsia="仿宋_GB2312"/>
          <w:color w:val="000000"/>
          <w:sz w:val="28"/>
          <w:szCs w:val="28"/>
        </w:rPr>
        <w:t> 855.95 </w:t>
      </w:r>
      <w:r>
        <w:rPr>
          <w:rFonts w:hint="eastAsia" w:ascii="Times New Roman" w:hAnsi="Times New Roman" w:eastAsia="仿宋_GB2312"/>
          <w:color w:val="000000"/>
          <w:sz w:val="28"/>
          <w:szCs w:val="28"/>
        </w:rPr>
        <w:t>平方米，建筑面积</w:t>
      </w:r>
      <w:r>
        <w:rPr>
          <w:rFonts w:ascii="Times New Roman" w:hAnsi="Times New Roman" w:eastAsia="仿宋_GB2312"/>
          <w:color w:val="000000"/>
          <w:sz w:val="28"/>
          <w:szCs w:val="28"/>
        </w:rPr>
        <w:t> 260.45 </w:t>
      </w:r>
      <w:r>
        <w:rPr>
          <w:rFonts w:hint="eastAsia" w:ascii="Times New Roman" w:hAnsi="Times New Roman" w:eastAsia="仿宋_GB2312"/>
          <w:color w:val="000000"/>
          <w:sz w:val="28"/>
          <w:szCs w:val="28"/>
        </w:rPr>
        <w:t>平方米，室外地坪高差</w:t>
      </w:r>
      <w:r>
        <w:rPr>
          <w:rFonts w:ascii="Times New Roman" w:hAnsi="Times New Roman" w:eastAsia="仿宋_GB2312"/>
          <w:color w:val="000000"/>
          <w:sz w:val="28"/>
          <w:szCs w:val="28"/>
        </w:rPr>
        <w:t> 2.82 </w:t>
      </w:r>
      <w:r>
        <w:rPr>
          <w:rFonts w:hint="eastAsia" w:ascii="Times New Roman" w:hAnsi="Times New Roman" w:eastAsia="仿宋_GB2312"/>
          <w:color w:val="000000"/>
          <w:sz w:val="28"/>
          <w:szCs w:val="28"/>
        </w:rPr>
        <w:t>米，南</w:t>
      </w:r>
      <w:r>
        <w:rPr>
          <w:rFonts w:ascii="Times New Roman" w:hAnsi="Times New Roman" w:eastAsia="仿宋_GB2312"/>
          <w:color w:val="000000"/>
          <w:sz w:val="28"/>
          <w:szCs w:val="28"/>
        </w:rPr>
        <w:t> </w:t>
      </w:r>
      <w:r>
        <w:rPr>
          <w:rFonts w:hint="eastAsia" w:ascii="Times New Roman" w:hAnsi="Times New Roman" w:eastAsia="仿宋_GB2312"/>
          <w:color w:val="000000"/>
          <w:sz w:val="28"/>
          <w:szCs w:val="28"/>
        </w:rPr>
        <w:t>低北高。</w:t>
      </w:r>
    </w:p>
    <w:p>
      <w:pPr>
        <w:pStyle w:val="2"/>
        <w:spacing w:after="0" w:line="520" w:lineRule="exact"/>
        <w:ind w:firstLine="560" w:firstLineChars="200"/>
        <w:rPr>
          <w:rFonts w:ascii="Times New Roman" w:hAnsi="Times New Roman" w:eastAsia="仿宋"/>
          <w:color w:val="000000"/>
          <w:sz w:val="28"/>
          <w:szCs w:val="28"/>
        </w:rPr>
      </w:pPr>
      <w:r>
        <w:rPr>
          <w:rFonts w:ascii="Times New Roman" w:hAnsi="Times New Roman" w:eastAsia="仿宋_GB2312"/>
          <w:color w:val="000000"/>
          <w:sz w:val="28"/>
          <w:szCs w:val="28"/>
        </w:rPr>
        <w:t>*</w:t>
      </w:r>
      <w:r>
        <w:rPr>
          <w:rFonts w:hint="eastAsia" w:ascii="Times New Roman" w:hAnsi="Times New Roman" w:eastAsia="仿宋_GB2312"/>
          <w:color w:val="000000"/>
          <w:sz w:val="28"/>
          <w:szCs w:val="28"/>
        </w:rPr>
        <w:t>秦岭生态环境保护单元名录整合归并优化后，以优化调整后的为准。</w:t>
      </w:r>
    </w:p>
    <w:p>
      <w:pPr>
        <w:spacing w:line="560" w:lineRule="exact"/>
        <w:jc w:val="center"/>
        <w:outlineLvl w:val="1"/>
        <w:rPr>
          <w:rFonts w:ascii="Times New Roman" w:hAnsi="Times New Roman" w:eastAsia="楷体_GB2312"/>
          <w:b/>
          <w:bCs/>
          <w:color w:val="000000"/>
          <w:sz w:val="32"/>
          <w:szCs w:val="32"/>
        </w:rPr>
      </w:pPr>
      <w:bookmarkStart w:id="12" w:name="_Toc2788"/>
      <w:bookmarkStart w:id="13" w:name="_Toc15834"/>
      <w:bookmarkStart w:id="14" w:name="_Toc27606"/>
    </w:p>
    <w:p>
      <w:pPr>
        <w:spacing w:line="560" w:lineRule="exact"/>
        <w:jc w:val="center"/>
        <w:outlineLvl w:val="1"/>
        <w:rPr>
          <w:rFonts w:ascii="Times New Roman" w:hAnsi="Times New Roman" w:eastAsia="楷体_GB2312"/>
          <w:b/>
          <w:bCs/>
          <w:color w:val="000000"/>
          <w:sz w:val="32"/>
          <w:szCs w:val="32"/>
        </w:rPr>
      </w:pPr>
      <w:r>
        <w:rPr>
          <w:rFonts w:hint="eastAsia" w:ascii="Times New Roman" w:hAnsi="Times New Roman" w:eastAsia="楷体_GB2312"/>
          <w:b/>
          <w:bCs/>
          <w:color w:val="000000"/>
          <w:sz w:val="32"/>
          <w:szCs w:val="32"/>
        </w:rPr>
        <w:t>第三节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主要特征</w:t>
      </w:r>
      <w:bookmarkEnd w:id="12"/>
      <w:bookmarkEnd w:id="13"/>
      <w:bookmarkEnd w:id="14"/>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仿宋_GB2312"/>
          <w:b/>
          <w:bCs/>
          <w:color w:val="000000"/>
          <w:sz w:val="32"/>
          <w:szCs w:val="32"/>
        </w:rPr>
        <w:t>地理区位独特。</w:t>
      </w:r>
      <w:r>
        <w:rPr>
          <w:rFonts w:hint="eastAsia" w:ascii="Times New Roman" w:hAnsi="Times New Roman" w:eastAsia="仿宋_GB2312"/>
          <w:color w:val="000000"/>
          <w:sz w:val="32"/>
          <w:szCs w:val="32"/>
        </w:rPr>
        <w:t>洛南全域处于秦岭生态环境保护区，面积和人口分别占到全省秦岭区域面积和人口的</w:t>
      </w:r>
      <w:r>
        <w:rPr>
          <w:rFonts w:ascii="Times New Roman" w:hAnsi="Times New Roman" w:eastAsia="仿宋_GB2312"/>
          <w:color w:val="000000"/>
          <w:sz w:val="32"/>
          <w:szCs w:val="32"/>
        </w:rPr>
        <w:t>4.85%</w:t>
      </w:r>
      <w:r>
        <w:rPr>
          <w:rFonts w:hint="eastAsia" w:ascii="Times New Roman" w:hAnsi="Times New Roman" w:eastAsia="仿宋_GB2312"/>
          <w:color w:val="000000"/>
          <w:sz w:val="32"/>
          <w:szCs w:val="32"/>
        </w:rPr>
        <w:t>和</w:t>
      </w:r>
      <w:r>
        <w:rPr>
          <w:rFonts w:ascii="Times New Roman" w:hAnsi="Times New Roman" w:eastAsia="仿宋_GB2312"/>
          <w:color w:val="000000"/>
          <w:sz w:val="32"/>
          <w:szCs w:val="32"/>
        </w:rPr>
        <w:t>9.44%</w:t>
      </w:r>
      <w:r>
        <w:rPr>
          <w:rFonts w:hint="eastAsia" w:ascii="Times New Roman" w:hAnsi="Times New Roman" w:eastAsia="仿宋_GB2312"/>
          <w:color w:val="000000"/>
          <w:sz w:val="32"/>
          <w:szCs w:val="32"/>
        </w:rPr>
        <w:t>，具有全局性、全域性、全程性、全民性的显著特点。跨长江、黄河两个流域，主要河流为黄河的一级支流伊洛河，占到县域面积的</w:t>
      </w:r>
      <w:r>
        <w:rPr>
          <w:rFonts w:ascii="Times New Roman" w:hAnsi="Times New Roman" w:eastAsia="仿宋_GB2312"/>
          <w:color w:val="000000"/>
          <w:sz w:val="32"/>
          <w:szCs w:val="32"/>
        </w:rPr>
        <w:t>96.1%</w:t>
      </w:r>
      <w:r>
        <w:rPr>
          <w:rFonts w:hint="eastAsia" w:ascii="Times New Roman" w:hAnsi="Times New Roman" w:eastAsia="仿宋_GB2312"/>
          <w:color w:val="000000"/>
          <w:sz w:val="32"/>
          <w:szCs w:val="32"/>
        </w:rPr>
        <w:t>。位于暖温带和北亚热带过渡地带，气候温和，雨量充沛，四季分明，属半湿润山地气候。岭谷相间排列，地势西北高，东南低，由西北向东南伸展，呈掌状分布。秦岭主梁横贯县域北部，平均海拔在</w:t>
      </w:r>
      <w:r>
        <w:rPr>
          <w:rFonts w:ascii="Times New Roman" w:hAnsi="Times New Roman" w:eastAsia="仿宋_GB2312"/>
          <w:color w:val="000000"/>
          <w:sz w:val="32"/>
          <w:szCs w:val="32"/>
        </w:rPr>
        <w:t>2000</w:t>
      </w:r>
      <w:r>
        <w:rPr>
          <w:rFonts w:hint="eastAsia" w:ascii="Times New Roman" w:hAnsi="Times New Roman" w:eastAsia="仿宋_GB2312"/>
          <w:color w:val="000000"/>
          <w:sz w:val="32"/>
          <w:szCs w:val="32"/>
        </w:rPr>
        <w:t>米左右，县内草链岭最高海拔</w:t>
      </w:r>
      <w:r>
        <w:rPr>
          <w:rFonts w:ascii="Times New Roman" w:hAnsi="Times New Roman" w:eastAsia="仿宋_GB2312"/>
          <w:color w:val="000000"/>
          <w:sz w:val="32"/>
          <w:szCs w:val="32"/>
        </w:rPr>
        <w:t>2646</w:t>
      </w:r>
      <w:r>
        <w:rPr>
          <w:rFonts w:hint="eastAsia" w:ascii="Times New Roman" w:hAnsi="Times New Roman" w:eastAsia="仿宋_GB2312"/>
          <w:color w:val="000000"/>
          <w:sz w:val="32"/>
          <w:szCs w:val="32"/>
        </w:rPr>
        <w:t>米，兰草河口最低海拔</w:t>
      </w:r>
      <w:r>
        <w:rPr>
          <w:rFonts w:ascii="Times New Roman" w:hAnsi="Times New Roman" w:eastAsia="仿宋_GB2312"/>
          <w:color w:val="000000"/>
          <w:sz w:val="32"/>
          <w:szCs w:val="32"/>
        </w:rPr>
        <w:t>670</w:t>
      </w:r>
      <w:r>
        <w:rPr>
          <w:rFonts w:hint="eastAsia" w:ascii="Times New Roman" w:hAnsi="Times New Roman" w:eastAsia="仿宋_GB2312"/>
          <w:color w:val="000000"/>
          <w:sz w:val="32"/>
          <w:szCs w:val="32"/>
        </w:rPr>
        <w:t>米。</w:t>
      </w:r>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生态功能重要。</w:t>
      </w:r>
      <w:r>
        <w:rPr>
          <w:rFonts w:hint="eastAsia" w:ascii="Times New Roman" w:hAnsi="Times New Roman" w:eastAsia="仿宋_GB2312"/>
          <w:color w:val="000000"/>
          <w:sz w:val="32"/>
          <w:szCs w:val="32"/>
        </w:rPr>
        <w:t>洛南为国家重点生态功能区，水量充沛，年降水量</w:t>
      </w:r>
      <w:r>
        <w:rPr>
          <w:rFonts w:ascii="Times New Roman" w:hAnsi="Times New Roman" w:eastAsia="仿宋_GB2312"/>
          <w:color w:val="000000"/>
          <w:sz w:val="32"/>
          <w:szCs w:val="32"/>
        </w:rPr>
        <w:t>710</w:t>
      </w:r>
      <w:r>
        <w:rPr>
          <w:rFonts w:hint="eastAsia" w:ascii="Times New Roman" w:hAnsi="Times New Roman" w:eastAsia="仿宋_GB2312"/>
          <w:color w:val="000000"/>
          <w:sz w:val="32"/>
          <w:szCs w:val="32"/>
        </w:rPr>
        <w:t>～</w:t>
      </w:r>
      <w:r>
        <w:rPr>
          <w:rFonts w:ascii="Times New Roman" w:hAnsi="Times New Roman" w:eastAsia="仿宋_GB2312"/>
          <w:color w:val="000000"/>
          <w:sz w:val="32"/>
          <w:szCs w:val="32"/>
        </w:rPr>
        <w:t>930</w:t>
      </w:r>
      <w:r>
        <w:rPr>
          <w:rFonts w:hint="eastAsia" w:ascii="Times New Roman" w:hAnsi="Times New Roman" w:eastAsia="仿宋_GB2312"/>
          <w:color w:val="000000"/>
          <w:sz w:val="32"/>
          <w:szCs w:val="32"/>
        </w:rPr>
        <w:t>毫米，有大小河流及其支流</w:t>
      </w:r>
      <w:r>
        <w:rPr>
          <w:rFonts w:ascii="Times New Roman" w:hAnsi="Times New Roman" w:eastAsia="仿宋_GB2312"/>
          <w:color w:val="000000"/>
          <w:sz w:val="32"/>
          <w:szCs w:val="32"/>
        </w:rPr>
        <w:t>1366</w:t>
      </w:r>
      <w:r>
        <w:rPr>
          <w:rFonts w:hint="eastAsia" w:ascii="Times New Roman" w:hAnsi="Times New Roman" w:eastAsia="仿宋_GB2312"/>
          <w:color w:val="000000"/>
          <w:sz w:val="32"/>
          <w:szCs w:val="32"/>
        </w:rPr>
        <w:t>条（指流域面积</w:t>
      </w:r>
      <w:r>
        <w:rPr>
          <w:rFonts w:ascii="Times New Roman" w:hAnsi="Times New Roman" w:eastAsia="仿宋_GB2312"/>
          <w:color w:val="000000"/>
          <w:sz w:val="32"/>
          <w:szCs w:val="32"/>
        </w:rPr>
        <w:t>1km</w:t>
      </w:r>
      <w:r>
        <w:rPr>
          <w:rFonts w:ascii="Times New Roman" w:hAnsi="Times New Roman" w:eastAsia="仿宋_GB2312"/>
          <w:color w:val="000000"/>
          <w:sz w:val="32"/>
          <w:szCs w:val="32"/>
          <w:vertAlign w:val="superscript"/>
        </w:rPr>
        <w:t>2</w:t>
      </w:r>
      <w:r>
        <w:rPr>
          <w:rFonts w:hint="eastAsia" w:ascii="Times New Roman" w:hAnsi="Times New Roman" w:eastAsia="仿宋_GB2312"/>
          <w:color w:val="000000"/>
          <w:sz w:val="32"/>
          <w:szCs w:val="32"/>
        </w:rPr>
        <w:t>以上的河流）；森林覆盖率达到</w:t>
      </w:r>
      <w:r>
        <w:rPr>
          <w:rFonts w:ascii="Times New Roman" w:hAnsi="Times New Roman" w:eastAsia="仿宋_GB2312"/>
          <w:color w:val="000000"/>
          <w:sz w:val="32"/>
          <w:szCs w:val="32"/>
        </w:rPr>
        <w:t>62.7%</w:t>
      </w:r>
      <w:r>
        <w:rPr>
          <w:rFonts w:hint="eastAsia" w:ascii="Times New Roman" w:hAnsi="Times New Roman" w:eastAsia="仿宋_GB2312"/>
          <w:color w:val="000000"/>
          <w:sz w:val="32"/>
          <w:szCs w:val="32"/>
        </w:rPr>
        <w:t>；有省级自然保护区</w:t>
      </w:r>
      <w:r>
        <w:rPr>
          <w:rFonts w:ascii="Times New Roman" w:hAnsi="Times New Roman" w:eastAsia="仿宋_GB2312"/>
          <w:color w:val="000000"/>
          <w:sz w:val="32"/>
          <w:szCs w:val="32"/>
        </w:rPr>
        <w:t>2</w:t>
      </w:r>
      <w:r>
        <w:rPr>
          <w:rFonts w:hint="eastAsia" w:ascii="Times New Roman" w:hAnsi="Times New Roman" w:eastAsia="仿宋_GB2312"/>
          <w:color w:val="000000"/>
          <w:sz w:val="32"/>
          <w:szCs w:val="32"/>
        </w:rPr>
        <w:t>处，国家级重点公益林保护区</w:t>
      </w:r>
      <w:r>
        <w:rPr>
          <w:rFonts w:ascii="Times New Roman" w:hAnsi="Times New Roman" w:eastAsia="仿宋_GB2312"/>
          <w:color w:val="000000"/>
          <w:sz w:val="32"/>
          <w:szCs w:val="32"/>
        </w:rPr>
        <w:t>3</w:t>
      </w:r>
      <w:r>
        <w:rPr>
          <w:rFonts w:hint="eastAsia" w:ascii="Times New Roman" w:hAnsi="Times New Roman" w:eastAsia="仿宋_GB2312"/>
          <w:color w:val="000000"/>
          <w:sz w:val="32"/>
          <w:szCs w:val="32"/>
        </w:rPr>
        <w:t>处，国家级试点湿地公园</w:t>
      </w:r>
      <w:r>
        <w:rPr>
          <w:rFonts w:ascii="Times New Roman" w:hAnsi="Times New Roman" w:eastAsia="仿宋_GB2312"/>
          <w:color w:val="000000"/>
          <w:sz w:val="32"/>
          <w:szCs w:val="32"/>
        </w:rPr>
        <w:t>1</w:t>
      </w:r>
      <w:r>
        <w:rPr>
          <w:rFonts w:hint="eastAsia" w:ascii="Times New Roman" w:hAnsi="Times New Roman" w:eastAsia="仿宋_GB2312"/>
          <w:color w:val="000000"/>
          <w:sz w:val="32"/>
          <w:szCs w:val="32"/>
        </w:rPr>
        <w:t>个；</w:t>
      </w:r>
      <w:r>
        <w:rPr>
          <w:rFonts w:ascii="Times New Roman" w:hAnsi="Times New Roman" w:eastAsia="仿宋_GB2312"/>
          <w:color w:val="000000"/>
          <w:sz w:val="32"/>
          <w:szCs w:val="32"/>
        </w:rPr>
        <w:t>3A</w:t>
      </w:r>
      <w:r>
        <w:rPr>
          <w:rFonts w:hint="eastAsia" w:ascii="Times New Roman" w:hAnsi="Times New Roman" w:eastAsia="仿宋_GB2312"/>
          <w:color w:val="000000"/>
          <w:sz w:val="32"/>
          <w:szCs w:val="32"/>
        </w:rPr>
        <w:t>级以上旅游景区</w:t>
      </w:r>
      <w:r>
        <w:rPr>
          <w:rFonts w:ascii="Times New Roman" w:hAnsi="Times New Roman" w:eastAsia="仿宋_GB2312"/>
          <w:color w:val="000000"/>
          <w:sz w:val="32"/>
          <w:szCs w:val="32"/>
        </w:rPr>
        <w:t>7</w:t>
      </w:r>
      <w:r>
        <w:rPr>
          <w:rFonts w:hint="eastAsia" w:ascii="Times New Roman" w:hAnsi="Times New Roman" w:eastAsia="仿宋_GB2312"/>
          <w:color w:val="000000"/>
          <w:sz w:val="32"/>
          <w:szCs w:val="32"/>
        </w:rPr>
        <w:t>个。</w:t>
      </w:r>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生物丰富多样。</w:t>
      </w:r>
      <w:r>
        <w:rPr>
          <w:rFonts w:hint="eastAsia" w:ascii="Times New Roman" w:hAnsi="Times New Roman" w:eastAsia="仿宋_GB2312"/>
          <w:color w:val="000000"/>
          <w:sz w:val="32"/>
          <w:szCs w:val="32"/>
        </w:rPr>
        <w:t>秦岭富有特色的地貌，孕育了丰富多样的动植物资源。我县有中草药</w:t>
      </w:r>
      <w:r>
        <w:rPr>
          <w:rFonts w:ascii="Times New Roman" w:hAnsi="Times New Roman" w:eastAsia="仿宋_GB2312"/>
          <w:color w:val="000000"/>
          <w:sz w:val="32"/>
          <w:szCs w:val="32"/>
        </w:rPr>
        <w:t>870</w:t>
      </w:r>
      <w:r>
        <w:rPr>
          <w:rFonts w:hint="eastAsia" w:ascii="Times New Roman" w:hAnsi="Times New Roman" w:eastAsia="仿宋_GB2312"/>
          <w:color w:val="000000"/>
          <w:sz w:val="32"/>
          <w:szCs w:val="32"/>
        </w:rPr>
        <w:t>种，列入国家《药典》的达</w:t>
      </w:r>
      <w:r>
        <w:rPr>
          <w:rFonts w:ascii="Times New Roman" w:hAnsi="Times New Roman" w:eastAsia="仿宋_GB2312"/>
          <w:color w:val="000000"/>
          <w:sz w:val="32"/>
          <w:szCs w:val="32"/>
        </w:rPr>
        <w:t>265</w:t>
      </w:r>
      <w:r>
        <w:rPr>
          <w:rFonts w:hint="eastAsia" w:ascii="Times New Roman" w:hAnsi="Times New Roman" w:eastAsia="仿宋_GB2312"/>
          <w:color w:val="000000"/>
          <w:sz w:val="32"/>
          <w:szCs w:val="32"/>
        </w:rPr>
        <w:t>种，素有</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秦岭药库</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之美称；县域植被类型丰富，森林资源以秦、蟒两岭的主山脉和分支山系为主，属典型的暖温带植被类型，其中森林、灌丛、草甸等均有分布，有常见和珍稀树种约</w:t>
      </w:r>
      <w:r>
        <w:rPr>
          <w:rFonts w:ascii="Times New Roman" w:hAnsi="Times New Roman" w:eastAsia="仿宋_GB2312"/>
          <w:color w:val="000000"/>
          <w:sz w:val="32"/>
          <w:szCs w:val="32"/>
        </w:rPr>
        <w:t>160</w:t>
      </w:r>
      <w:r>
        <w:rPr>
          <w:rFonts w:hint="eastAsia" w:ascii="Times New Roman" w:hAnsi="Times New Roman" w:eastAsia="仿宋_GB2312"/>
          <w:color w:val="000000"/>
          <w:sz w:val="32"/>
          <w:szCs w:val="32"/>
        </w:rPr>
        <w:t>种，其中有国家一级保护植物银杏，是国家油松种子基地县和全国名优经济林核桃之乡；有野生植物</w:t>
      </w:r>
      <w:r>
        <w:rPr>
          <w:rFonts w:ascii="Times New Roman" w:hAnsi="Times New Roman" w:eastAsia="仿宋_GB2312"/>
          <w:color w:val="000000"/>
          <w:sz w:val="32"/>
          <w:szCs w:val="32"/>
        </w:rPr>
        <w:t>960</w:t>
      </w:r>
      <w:r>
        <w:rPr>
          <w:rFonts w:hint="eastAsia" w:ascii="Times New Roman" w:hAnsi="Times New Roman" w:eastAsia="仿宋_GB2312"/>
          <w:color w:val="000000"/>
          <w:sz w:val="32"/>
          <w:szCs w:val="32"/>
        </w:rPr>
        <w:t>多种，野生动物</w:t>
      </w:r>
      <w:r>
        <w:rPr>
          <w:rFonts w:ascii="Times New Roman" w:hAnsi="Times New Roman" w:eastAsia="仿宋_GB2312"/>
          <w:color w:val="000000"/>
          <w:sz w:val="32"/>
          <w:szCs w:val="32"/>
        </w:rPr>
        <w:t>270</w:t>
      </w:r>
      <w:r>
        <w:rPr>
          <w:rFonts w:hint="eastAsia" w:ascii="Times New Roman" w:hAnsi="Times New Roman" w:eastAsia="仿宋_GB2312"/>
          <w:color w:val="000000"/>
          <w:sz w:val="32"/>
          <w:szCs w:val="32"/>
        </w:rPr>
        <w:t>余种，其中国家一级保护动物有林麝、黑鹳、金雕、云豹、金钱豹五种，二级保护动物有大鲵、红腹锦鸡等</w:t>
      </w:r>
      <w:r>
        <w:rPr>
          <w:rFonts w:ascii="Times New Roman" w:hAnsi="Times New Roman" w:eastAsia="仿宋_GB2312"/>
          <w:color w:val="000000"/>
          <w:sz w:val="32"/>
          <w:szCs w:val="32"/>
        </w:rPr>
        <w:t>20</w:t>
      </w:r>
      <w:r>
        <w:rPr>
          <w:rFonts w:hint="eastAsia" w:ascii="Times New Roman" w:hAnsi="Times New Roman" w:eastAsia="仿宋_GB2312"/>
          <w:color w:val="000000"/>
          <w:sz w:val="32"/>
          <w:szCs w:val="32"/>
        </w:rPr>
        <w:t>余种。</w:t>
      </w:r>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仿宋_GB2312"/>
          <w:b/>
          <w:bCs/>
          <w:color w:val="000000"/>
          <w:sz w:val="32"/>
          <w:szCs w:val="32"/>
        </w:rPr>
        <w:t>自然资源富集。</w:t>
      </w:r>
      <w:r>
        <w:rPr>
          <w:rFonts w:hint="eastAsia" w:ascii="Times New Roman" w:hAnsi="Times New Roman" w:eastAsia="仿宋_GB2312"/>
          <w:color w:val="000000"/>
          <w:sz w:val="32"/>
          <w:szCs w:val="32"/>
        </w:rPr>
        <w:t>洛南地处秦岭东西构造带，成矿地质条件好，是金属和非金属资源的宝库，已探明矿产资源有</w:t>
      </w:r>
      <w:r>
        <w:rPr>
          <w:rFonts w:ascii="Times New Roman" w:hAnsi="Times New Roman" w:eastAsia="仿宋_GB2312"/>
          <w:color w:val="000000"/>
          <w:sz w:val="32"/>
          <w:szCs w:val="32"/>
        </w:rPr>
        <w:t>39</w:t>
      </w:r>
      <w:r>
        <w:rPr>
          <w:rFonts w:hint="eastAsia" w:ascii="Times New Roman" w:hAnsi="Times New Roman" w:eastAsia="仿宋_GB2312"/>
          <w:color w:val="000000"/>
          <w:sz w:val="32"/>
          <w:szCs w:val="32"/>
        </w:rPr>
        <w:t>种，其中钼、金、钾长石、石英质玉等矿种优势特别明显。钾长石储量居全国首位，钼储量居全省第二。</w:t>
      </w:r>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历史人文悠久。</w:t>
      </w:r>
      <w:r>
        <w:rPr>
          <w:rFonts w:hint="eastAsia" w:ascii="Times New Roman" w:hAnsi="Times New Roman" w:eastAsia="仿宋_GB2312"/>
          <w:color w:val="000000"/>
          <w:sz w:val="32"/>
          <w:szCs w:val="32"/>
        </w:rPr>
        <w:t>洛南猿人距今约</w:t>
      </w:r>
      <w:r>
        <w:rPr>
          <w:rFonts w:ascii="Times New Roman" w:hAnsi="Times New Roman" w:eastAsia="仿宋_GB2312"/>
          <w:color w:val="000000"/>
          <w:sz w:val="32"/>
          <w:szCs w:val="32"/>
        </w:rPr>
        <w:t>100</w:t>
      </w:r>
      <w:r>
        <w:rPr>
          <w:rFonts w:hint="eastAsia" w:ascii="Times New Roman" w:hAnsi="Times New Roman" w:eastAsia="仿宋_GB2312"/>
          <w:color w:val="000000"/>
          <w:sz w:val="32"/>
          <w:szCs w:val="32"/>
        </w:rPr>
        <w:t>万年，与举世闻名的蓝田猿人同宗同源。</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河图洛书</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中的</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洛书</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就出自洛南灵口。人文初祖轩辕黄帝的史官仓颉在洛南，指掌而创文字。洛南是有着光荣传统的革命老区，是鄂、豫、陕革命根据地的重要组成部分，李先念、徐海东、汪锋、程子华、刘志丹等老一辈革命家先后挥戈秦蟒，开创革命根据地。有省级文物保护单位</w:t>
      </w:r>
      <w:r>
        <w:rPr>
          <w:rFonts w:ascii="Times New Roman" w:hAnsi="Times New Roman" w:eastAsia="仿宋_GB2312"/>
          <w:color w:val="000000"/>
          <w:sz w:val="32"/>
          <w:szCs w:val="32"/>
        </w:rPr>
        <w:t>3</w:t>
      </w:r>
      <w:r>
        <w:rPr>
          <w:rFonts w:hint="eastAsia" w:ascii="Times New Roman" w:hAnsi="Times New Roman" w:eastAsia="仿宋_GB2312"/>
          <w:color w:val="000000"/>
          <w:sz w:val="32"/>
          <w:szCs w:val="32"/>
        </w:rPr>
        <w:t>个。洛南静板书列入国家非物质文化遗产名录。</w:t>
      </w:r>
    </w:p>
    <w:p>
      <w:pPr>
        <w:spacing w:line="560" w:lineRule="exact"/>
        <w:ind w:firstLine="562" w:firstLineChars="175"/>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人类活动频繁。</w:t>
      </w:r>
      <w:r>
        <w:rPr>
          <w:rFonts w:hint="eastAsia" w:ascii="Times New Roman" w:hAnsi="Times New Roman" w:eastAsia="仿宋_GB2312"/>
          <w:color w:val="000000"/>
          <w:sz w:val="32"/>
          <w:szCs w:val="32"/>
        </w:rPr>
        <w:t>全县</w:t>
      </w:r>
      <w:r>
        <w:rPr>
          <w:rFonts w:ascii="Times New Roman" w:hAnsi="Times New Roman" w:eastAsia="仿宋_GB2312"/>
          <w:color w:val="000000"/>
          <w:sz w:val="32"/>
          <w:szCs w:val="32"/>
        </w:rPr>
        <w:t>16</w:t>
      </w:r>
      <w:r>
        <w:rPr>
          <w:rFonts w:hint="eastAsia" w:ascii="Times New Roman" w:hAnsi="Times New Roman" w:eastAsia="仿宋_GB2312"/>
          <w:color w:val="000000"/>
          <w:sz w:val="32"/>
          <w:szCs w:val="32"/>
        </w:rPr>
        <w:t>个镇办、</w:t>
      </w:r>
      <w:r>
        <w:rPr>
          <w:rFonts w:ascii="Times New Roman" w:hAnsi="Times New Roman" w:eastAsia="仿宋_GB2312"/>
          <w:color w:val="000000"/>
          <w:sz w:val="32"/>
          <w:szCs w:val="32"/>
        </w:rPr>
        <w:t>1</w:t>
      </w:r>
      <w:r>
        <w:rPr>
          <w:rFonts w:hint="eastAsia" w:ascii="Times New Roman" w:hAnsi="Times New Roman" w:eastAsia="仿宋_GB2312"/>
          <w:color w:val="000000"/>
          <w:sz w:val="32"/>
          <w:szCs w:val="32"/>
        </w:rPr>
        <w:t>个县域工业集中区，有耕地</w:t>
      </w:r>
      <w:r>
        <w:rPr>
          <w:rFonts w:ascii="Times New Roman" w:hAnsi="Times New Roman" w:eastAsia="仿宋_GB2312"/>
          <w:color w:val="000000"/>
          <w:sz w:val="32"/>
          <w:szCs w:val="32"/>
        </w:rPr>
        <w:t>67.6</w:t>
      </w:r>
      <w:r>
        <w:rPr>
          <w:rFonts w:hint="eastAsia" w:ascii="Times New Roman" w:hAnsi="Times New Roman" w:eastAsia="仿宋_GB2312"/>
          <w:color w:val="000000"/>
          <w:sz w:val="32"/>
          <w:szCs w:val="32"/>
        </w:rPr>
        <w:t>万亩，水电站</w:t>
      </w:r>
      <w:r>
        <w:rPr>
          <w:rFonts w:ascii="Times New Roman" w:hAnsi="Times New Roman" w:eastAsia="仿宋_GB2312"/>
          <w:color w:val="000000"/>
          <w:sz w:val="32"/>
          <w:szCs w:val="32"/>
        </w:rPr>
        <w:t>1</w:t>
      </w:r>
      <w:r>
        <w:rPr>
          <w:rFonts w:hint="eastAsia" w:ascii="Times New Roman" w:hAnsi="Times New Roman" w:eastAsia="仿宋_GB2312"/>
          <w:color w:val="000000"/>
          <w:sz w:val="32"/>
          <w:szCs w:val="32"/>
        </w:rPr>
        <w:t>座，采矿权</w:t>
      </w:r>
      <w:r>
        <w:rPr>
          <w:rFonts w:ascii="Times New Roman" w:hAnsi="Times New Roman" w:eastAsia="仿宋_GB2312"/>
          <w:color w:val="000000"/>
          <w:sz w:val="32"/>
          <w:szCs w:val="32"/>
        </w:rPr>
        <w:t>84</w:t>
      </w:r>
      <w:r>
        <w:rPr>
          <w:rFonts w:hint="eastAsia" w:ascii="Times New Roman" w:hAnsi="Times New Roman" w:eastAsia="仿宋_GB2312"/>
          <w:color w:val="000000"/>
          <w:sz w:val="32"/>
          <w:szCs w:val="32"/>
        </w:rPr>
        <w:t>个，农家乐（民宿）</w:t>
      </w:r>
      <w:r>
        <w:rPr>
          <w:rFonts w:ascii="Times New Roman" w:hAnsi="Times New Roman" w:eastAsia="仿宋_GB2312"/>
          <w:color w:val="000000"/>
          <w:sz w:val="32"/>
          <w:szCs w:val="32"/>
        </w:rPr>
        <w:t>30</w:t>
      </w:r>
      <w:r>
        <w:rPr>
          <w:rFonts w:hint="eastAsia" w:ascii="Times New Roman" w:hAnsi="Times New Roman" w:eastAsia="仿宋_GB2312"/>
          <w:color w:val="000000"/>
          <w:sz w:val="32"/>
          <w:szCs w:val="32"/>
        </w:rPr>
        <w:t>余家，省级高速公路</w:t>
      </w:r>
      <w:r>
        <w:rPr>
          <w:rFonts w:ascii="Times New Roman" w:hAnsi="Times New Roman" w:eastAsia="仿宋_GB2312"/>
          <w:color w:val="000000"/>
          <w:sz w:val="32"/>
          <w:szCs w:val="32"/>
        </w:rPr>
        <w:t>1</w:t>
      </w:r>
      <w:r>
        <w:rPr>
          <w:rFonts w:hint="eastAsia" w:ascii="Times New Roman" w:hAnsi="Times New Roman" w:eastAsia="仿宋_GB2312"/>
          <w:color w:val="000000"/>
          <w:sz w:val="32"/>
          <w:szCs w:val="32"/>
        </w:rPr>
        <w:t>条</w:t>
      </w:r>
      <w:r>
        <w:rPr>
          <w:rFonts w:ascii="Times New Roman" w:hAnsi="Times New Roman" w:eastAsia="仿宋_GB2312"/>
          <w:color w:val="000000"/>
          <w:sz w:val="32"/>
          <w:szCs w:val="32"/>
        </w:rPr>
        <w:t>9.8</w:t>
      </w:r>
      <w:r>
        <w:rPr>
          <w:rFonts w:hint="eastAsia" w:ascii="Times New Roman" w:hAnsi="Times New Roman" w:eastAsia="仿宋_GB2312"/>
          <w:color w:val="000000"/>
          <w:sz w:val="32"/>
          <w:szCs w:val="32"/>
        </w:rPr>
        <w:t>公里，国道</w:t>
      </w:r>
      <w:r>
        <w:rPr>
          <w:rFonts w:ascii="Times New Roman" w:hAnsi="Times New Roman" w:eastAsia="仿宋_GB2312"/>
          <w:color w:val="000000"/>
          <w:sz w:val="32"/>
          <w:szCs w:val="32"/>
        </w:rPr>
        <w:t>2</w:t>
      </w:r>
      <w:r>
        <w:rPr>
          <w:rFonts w:hint="eastAsia" w:ascii="Times New Roman" w:hAnsi="Times New Roman" w:eastAsia="仿宋_GB2312"/>
          <w:color w:val="000000"/>
          <w:sz w:val="32"/>
          <w:szCs w:val="32"/>
        </w:rPr>
        <w:t>条</w:t>
      </w:r>
      <w:r>
        <w:rPr>
          <w:rFonts w:ascii="Times New Roman" w:hAnsi="Times New Roman" w:eastAsia="仿宋_GB2312"/>
          <w:color w:val="000000"/>
          <w:sz w:val="32"/>
          <w:szCs w:val="32"/>
        </w:rPr>
        <w:t>122.5</w:t>
      </w:r>
      <w:r>
        <w:rPr>
          <w:rFonts w:hint="eastAsia" w:ascii="Times New Roman" w:hAnsi="Times New Roman" w:eastAsia="仿宋_GB2312"/>
          <w:color w:val="000000"/>
          <w:sz w:val="32"/>
          <w:szCs w:val="32"/>
        </w:rPr>
        <w:t>公里，省道</w:t>
      </w:r>
      <w:r>
        <w:rPr>
          <w:rFonts w:ascii="Times New Roman" w:hAnsi="Times New Roman" w:eastAsia="仿宋_GB2312"/>
          <w:color w:val="000000"/>
          <w:sz w:val="32"/>
          <w:szCs w:val="32"/>
        </w:rPr>
        <w:t>3</w:t>
      </w:r>
      <w:r>
        <w:rPr>
          <w:rFonts w:hint="eastAsia" w:ascii="Times New Roman" w:hAnsi="Times New Roman" w:eastAsia="仿宋_GB2312"/>
          <w:color w:val="000000"/>
          <w:sz w:val="32"/>
          <w:szCs w:val="32"/>
        </w:rPr>
        <w:t>条</w:t>
      </w:r>
      <w:r>
        <w:rPr>
          <w:rFonts w:ascii="Times New Roman" w:hAnsi="Times New Roman" w:eastAsia="仿宋_GB2312"/>
          <w:color w:val="000000"/>
          <w:sz w:val="32"/>
          <w:szCs w:val="32"/>
        </w:rPr>
        <w:t>210.8</w:t>
      </w:r>
      <w:r>
        <w:rPr>
          <w:rFonts w:hint="eastAsia" w:ascii="Times New Roman" w:hAnsi="Times New Roman" w:eastAsia="仿宋_GB2312"/>
          <w:color w:val="000000"/>
          <w:sz w:val="32"/>
          <w:szCs w:val="32"/>
        </w:rPr>
        <w:t>公里，县道</w:t>
      </w:r>
      <w:r>
        <w:rPr>
          <w:rFonts w:ascii="Times New Roman" w:hAnsi="Times New Roman" w:eastAsia="仿宋_GB2312"/>
          <w:color w:val="000000"/>
          <w:sz w:val="32"/>
          <w:szCs w:val="32"/>
        </w:rPr>
        <w:t>6</w:t>
      </w:r>
      <w:r>
        <w:rPr>
          <w:rFonts w:hint="eastAsia" w:ascii="Times New Roman" w:hAnsi="Times New Roman" w:eastAsia="仿宋_GB2312"/>
          <w:color w:val="000000"/>
          <w:sz w:val="32"/>
          <w:szCs w:val="32"/>
        </w:rPr>
        <w:t>条</w:t>
      </w:r>
      <w:r>
        <w:rPr>
          <w:rFonts w:ascii="Times New Roman" w:hAnsi="Times New Roman" w:eastAsia="仿宋_GB2312"/>
          <w:color w:val="000000"/>
          <w:sz w:val="32"/>
          <w:szCs w:val="32"/>
        </w:rPr>
        <w:t>176.9</w:t>
      </w:r>
      <w:r>
        <w:rPr>
          <w:rFonts w:hint="eastAsia" w:ascii="Times New Roman" w:hAnsi="Times New Roman" w:eastAsia="仿宋_GB2312"/>
          <w:color w:val="000000"/>
          <w:sz w:val="32"/>
          <w:szCs w:val="32"/>
        </w:rPr>
        <w:t>公里，乡道</w:t>
      </w:r>
      <w:r>
        <w:rPr>
          <w:rFonts w:ascii="Times New Roman" w:hAnsi="Times New Roman" w:eastAsia="仿宋_GB2312"/>
          <w:color w:val="000000"/>
          <w:sz w:val="32"/>
          <w:szCs w:val="32"/>
        </w:rPr>
        <w:t>25</w:t>
      </w:r>
      <w:r>
        <w:rPr>
          <w:rFonts w:hint="eastAsia" w:ascii="Times New Roman" w:hAnsi="Times New Roman" w:eastAsia="仿宋_GB2312"/>
          <w:color w:val="000000"/>
          <w:sz w:val="32"/>
          <w:szCs w:val="32"/>
        </w:rPr>
        <w:t>条</w:t>
      </w:r>
      <w:r>
        <w:rPr>
          <w:rFonts w:ascii="Times New Roman" w:hAnsi="Times New Roman" w:eastAsia="仿宋_GB2312"/>
          <w:color w:val="000000"/>
          <w:sz w:val="32"/>
          <w:szCs w:val="32"/>
        </w:rPr>
        <w:t>464</w:t>
      </w:r>
      <w:r>
        <w:rPr>
          <w:rFonts w:hint="eastAsia" w:ascii="Times New Roman" w:hAnsi="Times New Roman" w:eastAsia="仿宋_GB2312"/>
          <w:color w:val="000000"/>
          <w:sz w:val="32"/>
          <w:szCs w:val="32"/>
        </w:rPr>
        <w:t>公里，村公路</w:t>
      </w:r>
      <w:r>
        <w:rPr>
          <w:rFonts w:ascii="Times New Roman" w:hAnsi="Times New Roman" w:eastAsia="仿宋_GB2312"/>
          <w:color w:val="000000"/>
          <w:sz w:val="32"/>
          <w:szCs w:val="32"/>
        </w:rPr>
        <w:t>1523</w:t>
      </w:r>
      <w:r>
        <w:rPr>
          <w:rFonts w:hint="eastAsia" w:ascii="Times New Roman" w:hAnsi="Times New Roman" w:eastAsia="仿宋_GB2312"/>
          <w:color w:val="000000"/>
          <w:sz w:val="32"/>
          <w:szCs w:val="32"/>
        </w:rPr>
        <w:t>条</w:t>
      </w:r>
      <w:r>
        <w:rPr>
          <w:rFonts w:ascii="Times New Roman" w:hAnsi="Times New Roman" w:eastAsia="仿宋_GB2312"/>
          <w:color w:val="000000"/>
          <w:sz w:val="32"/>
          <w:szCs w:val="32"/>
        </w:rPr>
        <w:t>3546</w:t>
      </w:r>
      <w:r>
        <w:rPr>
          <w:rFonts w:hint="eastAsia" w:ascii="Times New Roman" w:hAnsi="Times New Roman" w:eastAsia="仿宋_GB2312"/>
          <w:color w:val="000000"/>
          <w:sz w:val="32"/>
          <w:szCs w:val="32"/>
        </w:rPr>
        <w:t>公里。</w:t>
      </w:r>
    </w:p>
    <w:p>
      <w:pPr>
        <w:spacing w:line="560" w:lineRule="exact"/>
        <w:ind w:firstLine="640" w:firstLineChars="200"/>
        <w:rPr>
          <w:rFonts w:ascii="Times New Roman" w:hAnsi="Times New Roman" w:eastAsia="仿宋_GB2312"/>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15" w:name="_Toc12044"/>
      <w:bookmarkStart w:id="16" w:name="_Toc1637"/>
      <w:bookmarkStart w:id="17" w:name="_Toc18591"/>
      <w:r>
        <w:rPr>
          <w:rFonts w:hint="eastAsia" w:ascii="Times New Roman" w:hAnsi="Times New Roman" w:eastAsia="楷体_GB2312"/>
          <w:b/>
          <w:bCs/>
          <w:color w:val="000000"/>
          <w:sz w:val="32"/>
          <w:szCs w:val="32"/>
        </w:rPr>
        <w:t>第四节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保护现状</w:t>
      </w:r>
      <w:bookmarkEnd w:id="15"/>
      <w:bookmarkEnd w:id="16"/>
      <w:bookmarkEnd w:id="17"/>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生态环境质量持续改善。</w:t>
      </w:r>
      <w:r>
        <w:rPr>
          <w:rFonts w:hint="eastAsia" w:ascii="Times New Roman" w:hAnsi="Times New Roman" w:eastAsia="仿宋_GB2312"/>
          <w:color w:val="000000"/>
          <w:sz w:val="32"/>
          <w:szCs w:val="32"/>
        </w:rPr>
        <w:t>持续打好</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蓝天、碧水、净土、青山</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四大保卫战，统筹推进山水林田湖草一体化保护，空气质量位居全省前列。以生态破坏区、脆弱区、退还区和风化区生态修复为重点，实施退耕还林还草、重点防护林建设、重点区域绿化等工程，推进矿山生态环境修复治理，珍稀野生动植物数量不断增加，全县认定</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三品</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产品</w:t>
      </w:r>
      <w:r>
        <w:rPr>
          <w:rFonts w:ascii="Times New Roman" w:hAnsi="Times New Roman" w:eastAsia="仿宋_GB2312"/>
          <w:color w:val="000000"/>
          <w:sz w:val="32"/>
          <w:szCs w:val="32"/>
        </w:rPr>
        <w:t>24</w:t>
      </w:r>
      <w:r>
        <w:rPr>
          <w:rFonts w:hint="eastAsia" w:ascii="Times New Roman" w:hAnsi="Times New Roman" w:eastAsia="仿宋_GB2312"/>
          <w:color w:val="000000"/>
          <w:sz w:val="32"/>
          <w:szCs w:val="32"/>
        </w:rPr>
        <w:t>个，农产品地理标志登记保护产品</w:t>
      </w:r>
      <w:r>
        <w:rPr>
          <w:rFonts w:ascii="Times New Roman" w:hAnsi="Times New Roman" w:eastAsia="仿宋_GB2312"/>
          <w:color w:val="000000"/>
          <w:sz w:val="32"/>
          <w:szCs w:val="32"/>
        </w:rPr>
        <w:t>1</w:t>
      </w:r>
      <w:r>
        <w:rPr>
          <w:rFonts w:hint="eastAsia" w:ascii="Times New Roman" w:hAnsi="Times New Roman" w:eastAsia="仿宋_GB2312"/>
          <w:color w:val="000000"/>
          <w:sz w:val="32"/>
          <w:szCs w:val="32"/>
        </w:rPr>
        <w:t>个，先后获评中国气候康养之都、国家森林县城、省级园林县城等荣誉称号。</w:t>
      </w:r>
    </w:p>
    <w:p>
      <w:pPr>
        <w:spacing w:line="560" w:lineRule="exact"/>
        <w:ind w:firstLine="643" w:firstLineChars="200"/>
        <w:rPr>
          <w:rFonts w:ascii="Times New Roman" w:hAnsi="Times New Roman" w:eastAsia="仿宋_GB2312"/>
          <w:color w:val="000000"/>
          <w:sz w:val="32"/>
          <w:szCs w:val="32"/>
        </w:rPr>
      </w:pPr>
      <w:r>
        <w:rPr>
          <w:rFonts w:ascii="Times New Roman" w:hAnsi="Times New Roman" w:eastAsia="楷体_GB2312"/>
          <w:b/>
          <w:bCs/>
          <w:color w:val="000000"/>
          <w:sz w:val="32"/>
          <w:szCs w:val="32"/>
        </w:rPr>
        <w:t>“</w:t>
      </w:r>
      <w:r>
        <w:rPr>
          <w:rFonts w:hint="eastAsia" w:ascii="Times New Roman" w:hAnsi="Times New Roman" w:eastAsia="楷体_GB2312"/>
          <w:b/>
          <w:bCs/>
          <w:color w:val="000000"/>
          <w:sz w:val="32"/>
          <w:szCs w:val="32"/>
        </w:rPr>
        <w:t>五乱</w:t>
      </w:r>
      <w:r>
        <w:rPr>
          <w:rFonts w:ascii="Times New Roman" w:hAnsi="Times New Roman" w:eastAsia="楷体_GB2312"/>
          <w:b/>
          <w:bCs/>
          <w:color w:val="000000"/>
          <w:sz w:val="32"/>
          <w:szCs w:val="32"/>
        </w:rPr>
        <w:t>”</w:t>
      </w:r>
      <w:r>
        <w:rPr>
          <w:rFonts w:hint="eastAsia" w:ascii="Times New Roman" w:hAnsi="Times New Roman" w:eastAsia="楷体_GB2312"/>
          <w:b/>
          <w:bCs/>
          <w:color w:val="000000"/>
          <w:sz w:val="32"/>
          <w:szCs w:val="32"/>
        </w:rPr>
        <w:t>问题整治成效明显。</w:t>
      </w:r>
      <w:r>
        <w:rPr>
          <w:rFonts w:hint="eastAsia" w:ascii="Times New Roman" w:hAnsi="Times New Roman" w:eastAsia="仿宋_GB2312"/>
          <w:color w:val="000000"/>
          <w:sz w:val="32"/>
          <w:szCs w:val="32"/>
        </w:rPr>
        <w:t>扎实开</w:t>
      </w:r>
      <w:r>
        <w:rPr>
          <w:rFonts w:hint="eastAsia" w:ascii="Times New Roman" w:hAnsi="Times New Roman" w:eastAsia="仿宋_GB2312"/>
          <w:color w:val="000000"/>
          <w:spacing w:val="-6"/>
          <w:sz w:val="32"/>
          <w:szCs w:val="32"/>
        </w:rPr>
        <w:t>展秦岭区域违规建筑和生态环境突出问题专项整治，整治</w:t>
      </w:r>
      <w:r>
        <w:rPr>
          <w:rFonts w:ascii="Times New Roman" w:hAnsi="Times New Roman" w:eastAsia="仿宋_GB2312"/>
          <w:color w:val="000000"/>
          <w:spacing w:val="-6"/>
          <w:sz w:val="32"/>
          <w:szCs w:val="32"/>
        </w:rPr>
        <w:t>“</w:t>
      </w:r>
      <w:r>
        <w:rPr>
          <w:rFonts w:hint="eastAsia" w:ascii="Times New Roman" w:hAnsi="Times New Roman" w:eastAsia="仿宋_GB2312"/>
          <w:color w:val="000000"/>
          <w:spacing w:val="-6"/>
          <w:sz w:val="32"/>
          <w:szCs w:val="32"/>
        </w:rPr>
        <w:t>五乱</w:t>
      </w:r>
      <w:r>
        <w:rPr>
          <w:rFonts w:ascii="Times New Roman" w:hAnsi="Times New Roman" w:eastAsia="仿宋_GB2312"/>
          <w:color w:val="000000"/>
          <w:spacing w:val="-6"/>
          <w:sz w:val="32"/>
          <w:szCs w:val="32"/>
        </w:rPr>
        <w:t>”</w:t>
      </w:r>
      <w:r>
        <w:rPr>
          <w:rFonts w:hint="eastAsia" w:ascii="Times New Roman" w:hAnsi="Times New Roman" w:eastAsia="仿宋_GB2312"/>
          <w:color w:val="000000"/>
          <w:spacing w:val="-6"/>
          <w:sz w:val="32"/>
          <w:szCs w:val="32"/>
        </w:rPr>
        <w:t>问题</w:t>
      </w:r>
      <w:r>
        <w:rPr>
          <w:rFonts w:ascii="Times New Roman" w:hAnsi="Times New Roman" w:eastAsia="仿宋_GB2312"/>
          <w:color w:val="000000"/>
          <w:spacing w:val="-6"/>
          <w:sz w:val="32"/>
          <w:szCs w:val="32"/>
        </w:rPr>
        <w:t>55</w:t>
      </w:r>
      <w:r>
        <w:rPr>
          <w:rFonts w:hint="eastAsia" w:ascii="Times New Roman" w:hAnsi="Times New Roman" w:eastAsia="仿宋_GB2312"/>
          <w:color w:val="000000"/>
          <w:spacing w:val="-6"/>
          <w:sz w:val="32"/>
          <w:szCs w:val="32"/>
        </w:rPr>
        <w:t>个，累计拆除违规建筑</w:t>
      </w:r>
      <w:r>
        <w:rPr>
          <w:rFonts w:ascii="Times New Roman" w:hAnsi="Times New Roman" w:eastAsia="仿宋_GB2312"/>
          <w:color w:val="000000"/>
          <w:spacing w:val="-6"/>
          <w:sz w:val="32"/>
          <w:szCs w:val="32"/>
        </w:rPr>
        <w:t>3533.46</w:t>
      </w:r>
      <w:r>
        <w:rPr>
          <w:rFonts w:hint="eastAsia" w:ascii="Times New Roman" w:hAnsi="Times New Roman" w:eastAsia="仿宋_GB2312"/>
          <w:color w:val="000000"/>
          <w:spacing w:val="-6"/>
          <w:sz w:val="32"/>
          <w:szCs w:val="32"/>
        </w:rPr>
        <w:t>平方米，没收</w:t>
      </w:r>
      <w:r>
        <w:rPr>
          <w:rFonts w:ascii="Times New Roman" w:hAnsi="Times New Roman" w:eastAsia="仿宋_GB2312"/>
          <w:color w:val="000000"/>
          <w:spacing w:val="-6"/>
          <w:sz w:val="32"/>
          <w:szCs w:val="32"/>
        </w:rPr>
        <w:t>3000.78</w:t>
      </w:r>
      <w:r>
        <w:rPr>
          <w:rFonts w:hint="eastAsia" w:ascii="Times New Roman" w:hAnsi="Times New Roman" w:eastAsia="仿宋_GB2312"/>
          <w:color w:val="000000"/>
          <w:spacing w:val="-6"/>
          <w:sz w:val="32"/>
          <w:szCs w:val="32"/>
        </w:rPr>
        <w:t>平方米，取缔违法砂厂</w:t>
      </w:r>
      <w:r>
        <w:rPr>
          <w:rFonts w:ascii="Times New Roman" w:hAnsi="Times New Roman" w:eastAsia="仿宋_GB2312"/>
          <w:color w:val="000000"/>
          <w:spacing w:val="-6"/>
          <w:sz w:val="32"/>
          <w:szCs w:val="32"/>
        </w:rPr>
        <w:t>33</w:t>
      </w:r>
      <w:r>
        <w:rPr>
          <w:rFonts w:hint="eastAsia" w:ascii="Times New Roman" w:hAnsi="Times New Roman" w:eastAsia="仿宋_GB2312"/>
          <w:color w:val="000000"/>
          <w:spacing w:val="-6"/>
          <w:sz w:val="32"/>
          <w:szCs w:val="32"/>
        </w:rPr>
        <w:t>处，复土复绿</w:t>
      </w:r>
      <w:r>
        <w:rPr>
          <w:rFonts w:ascii="Times New Roman" w:hAnsi="Times New Roman" w:eastAsia="仿宋_GB2312"/>
          <w:color w:val="000000"/>
          <w:spacing w:val="-6"/>
          <w:sz w:val="32"/>
          <w:szCs w:val="32"/>
        </w:rPr>
        <w:t>1.56</w:t>
      </w:r>
      <w:r>
        <w:rPr>
          <w:rFonts w:hint="eastAsia" w:ascii="Times New Roman" w:hAnsi="Times New Roman" w:eastAsia="仿宋_GB2312"/>
          <w:color w:val="000000"/>
          <w:spacing w:val="-6"/>
          <w:sz w:val="32"/>
          <w:szCs w:val="32"/>
        </w:rPr>
        <w:t>万平方米。扎实开展打击整治破坏秦岭野生动物资源违法犯罪专项行动，损害秦岭生</w:t>
      </w:r>
      <w:r>
        <w:rPr>
          <w:rFonts w:hint="eastAsia" w:ascii="Times New Roman" w:hAnsi="Times New Roman" w:eastAsia="仿宋_GB2312"/>
          <w:color w:val="000000"/>
          <w:sz w:val="32"/>
          <w:szCs w:val="32"/>
        </w:rPr>
        <w:t>态环境问题得到有效遏制。</w:t>
      </w:r>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水源地保护成效明显。</w:t>
      </w:r>
      <w:r>
        <w:rPr>
          <w:rFonts w:hint="eastAsia" w:ascii="Times New Roman" w:hAnsi="Times New Roman" w:eastAsia="仿宋_GB2312"/>
          <w:color w:val="000000"/>
          <w:sz w:val="32"/>
          <w:szCs w:val="32"/>
        </w:rPr>
        <w:t>开展饮用水水源地环境保护专项行动，完成水电站核查整治，落实河长制、湖长制，实施小流域综合治理、塬面保护等工程，推进坡耕地水土流失整治，伊洛河出境断面水质常年保持在</w:t>
      </w:r>
      <w:r>
        <w:rPr>
          <w:rFonts w:ascii="Times New Roman" w:hAnsi="Times New Roman"/>
          <w:color w:val="000000"/>
          <w:sz w:val="32"/>
          <w:szCs w:val="32"/>
        </w:rPr>
        <w:t>Ⅱ</w:t>
      </w:r>
      <w:r>
        <w:rPr>
          <w:rFonts w:hint="eastAsia" w:ascii="Times New Roman" w:hAnsi="Times New Roman" w:eastAsia="仿宋_GB2312"/>
          <w:color w:val="000000"/>
          <w:sz w:val="32"/>
          <w:szCs w:val="32"/>
        </w:rPr>
        <w:t>类标准。</w:t>
      </w:r>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资金投入持续增加。</w:t>
      </w:r>
      <w:r>
        <w:rPr>
          <w:rFonts w:hint="eastAsia" w:ascii="Times New Roman" w:hAnsi="Times New Roman" w:eastAsia="仿宋_GB2312"/>
          <w:color w:val="000000"/>
          <w:sz w:val="32"/>
          <w:szCs w:val="32"/>
        </w:rPr>
        <w:t>不断加大秦岭生态环境保护资金投入，积极争取国家和省级重点生态功能区转移支付对洛南给予倾斜支持。县财政设立秦岭生态环境保护专项资金，重点支持矿山环境修复治理、环保基础设施建设、生物多样性保护，以及尾矿库治理等，秦岭生态环境保护投入力度不断加大。</w:t>
      </w:r>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体制机制建设进一步健全。</w:t>
      </w:r>
      <w:r>
        <w:rPr>
          <w:rFonts w:hint="eastAsia" w:ascii="Times New Roman" w:hAnsi="Times New Roman" w:eastAsia="仿宋_GB2312"/>
          <w:color w:val="000000"/>
          <w:sz w:val="32"/>
          <w:szCs w:val="32"/>
        </w:rPr>
        <w:t>成立了以县委、县政府主要负责人为第一主任和主任的秦岭生态环境保护委员会及其办事机构，负责对秦岭生态环境保护的统筹规划、综合协调、监督检查、考核评价。成立了县、镇（办）秦岭保护专门机构。县委、县政府将秦岭生态环境保护纳入国民经济和社会发展规划，全面贯彻落实省市秦岭保护《条例》和工作措施，加快推进秦岭生态环境保护常态化、长效化。</w:t>
      </w:r>
    </w:p>
    <w:p>
      <w:pPr>
        <w:spacing w:line="560" w:lineRule="exact"/>
        <w:rPr>
          <w:rFonts w:ascii="Times New Roman" w:hAnsi="Times New Roman" w:eastAsia="楷体_GB2312"/>
          <w:b/>
          <w:bCs/>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18" w:name="_Toc2275"/>
      <w:bookmarkStart w:id="19" w:name="_Toc27732"/>
      <w:bookmarkStart w:id="20" w:name="_Toc8069"/>
      <w:r>
        <w:rPr>
          <w:rFonts w:hint="eastAsia" w:ascii="Times New Roman" w:hAnsi="Times New Roman" w:eastAsia="楷体_GB2312"/>
          <w:b/>
          <w:bCs/>
          <w:color w:val="000000"/>
          <w:sz w:val="32"/>
          <w:szCs w:val="32"/>
        </w:rPr>
        <w:t>第五节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主要问题</w:t>
      </w:r>
      <w:bookmarkEnd w:id="18"/>
      <w:bookmarkEnd w:id="19"/>
      <w:bookmarkEnd w:id="20"/>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生态环境相对脆弱</w:t>
      </w:r>
      <w:r>
        <w:rPr>
          <w:rFonts w:hint="eastAsia" w:ascii="Times New Roman" w:hAnsi="Times New Roman" w:eastAsia="仿宋_GB2312"/>
          <w:b/>
          <w:bCs/>
          <w:color w:val="000000"/>
          <w:sz w:val="32"/>
          <w:szCs w:val="32"/>
        </w:rPr>
        <w:t>。</w:t>
      </w:r>
      <w:r>
        <w:rPr>
          <w:rFonts w:hint="eastAsia" w:ascii="Times New Roman" w:hAnsi="Times New Roman" w:eastAsia="仿宋_GB2312"/>
          <w:color w:val="000000"/>
          <w:sz w:val="32"/>
          <w:szCs w:val="32"/>
        </w:rPr>
        <w:t>由于工业化和城镇化快速推进、人口数量增加、林业有害生物威胁等因素，生态系统功能退化，天然林减少，林分质量变差，生态功能降低，野生药用植物数量减少，野生动物栖息地碎片化严重，生态环境相对脆弱。</w:t>
      </w:r>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山地灾害相对严重</w:t>
      </w:r>
      <w:r>
        <w:rPr>
          <w:rFonts w:hint="eastAsia" w:ascii="Times New Roman" w:hAnsi="Times New Roman" w:eastAsia="楷体_GB2312"/>
          <w:color w:val="000000"/>
          <w:sz w:val="32"/>
          <w:szCs w:val="32"/>
        </w:rPr>
        <w:t>。</w:t>
      </w:r>
      <w:r>
        <w:rPr>
          <w:rFonts w:hint="eastAsia" w:ascii="Times New Roman" w:hAnsi="Times New Roman" w:eastAsia="仿宋_GB2312"/>
          <w:color w:val="000000"/>
          <w:sz w:val="32"/>
          <w:szCs w:val="32"/>
        </w:rPr>
        <w:t>山体滑坡、山洪泥石流、洪涝灾害时有发生，水源涵养能力降低，河水暴涨暴落，径流变化波动加大，水体总量减少，季节性河流增多，水资源可利用率下降。部分河道过度采砂情况严重，地下水水位下降。受地形地势、植被、人类活动等因素影响，年均土壤侵蚀量</w:t>
      </w:r>
      <w:r>
        <w:rPr>
          <w:rFonts w:ascii="Times New Roman" w:hAnsi="Times New Roman" w:eastAsia="仿宋_GB2312"/>
          <w:color w:val="000000"/>
          <w:sz w:val="32"/>
          <w:szCs w:val="32"/>
        </w:rPr>
        <w:t>2650</w:t>
      </w:r>
      <w:r>
        <w:rPr>
          <w:rFonts w:hint="eastAsia" w:ascii="Times New Roman" w:hAnsi="Times New Roman" w:eastAsia="仿宋_GB2312"/>
          <w:color w:val="000000"/>
          <w:sz w:val="32"/>
          <w:szCs w:val="32"/>
        </w:rPr>
        <w:t>吨</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平方千米左右。</w:t>
      </w:r>
    </w:p>
    <w:p>
      <w:pPr>
        <w:spacing w:line="560" w:lineRule="exact"/>
        <w:ind w:firstLine="643" w:firstLineChars="200"/>
        <w:rPr>
          <w:rFonts w:ascii="Times New Roman" w:hAnsi="Times New Roman" w:eastAsia="仿宋_GB2312"/>
          <w:color w:val="000000"/>
          <w:spacing w:val="-5"/>
          <w:sz w:val="32"/>
          <w:szCs w:val="32"/>
        </w:rPr>
      </w:pPr>
      <w:r>
        <w:rPr>
          <w:rFonts w:hint="eastAsia" w:ascii="Times New Roman" w:hAnsi="Times New Roman" w:eastAsia="楷体_GB2312"/>
          <w:b/>
          <w:bCs/>
          <w:color w:val="000000"/>
          <w:sz w:val="32"/>
          <w:szCs w:val="32"/>
        </w:rPr>
        <w:t>生态修复任务艰巨。</w:t>
      </w:r>
      <w:r>
        <w:rPr>
          <w:rFonts w:hint="eastAsia" w:ascii="Times New Roman" w:hAnsi="Times New Roman" w:eastAsia="仿宋_GB2312"/>
          <w:color w:val="000000"/>
          <w:sz w:val="32"/>
          <w:szCs w:val="32"/>
        </w:rPr>
        <w:t>全县现有各类尾矿库</w:t>
      </w:r>
      <w:r>
        <w:rPr>
          <w:rFonts w:ascii="Times New Roman" w:hAnsi="Times New Roman" w:eastAsia="仿宋_GB2312"/>
          <w:color w:val="000000"/>
          <w:sz w:val="32"/>
          <w:szCs w:val="32"/>
        </w:rPr>
        <w:t>49</w:t>
      </w:r>
      <w:r>
        <w:rPr>
          <w:rFonts w:hint="eastAsia" w:ascii="Times New Roman" w:hAnsi="Times New Roman" w:eastAsia="仿宋_GB2312"/>
          <w:color w:val="000000"/>
          <w:sz w:val="32"/>
          <w:szCs w:val="32"/>
        </w:rPr>
        <w:t>座，占全省的</w:t>
      </w:r>
      <w:r>
        <w:rPr>
          <w:rFonts w:ascii="Times New Roman" w:hAnsi="Times New Roman" w:eastAsia="仿宋_GB2312"/>
          <w:color w:val="000000"/>
          <w:sz w:val="32"/>
          <w:szCs w:val="32"/>
        </w:rPr>
        <w:t>15.7%</w:t>
      </w:r>
      <w:r>
        <w:rPr>
          <w:rFonts w:hint="eastAsia" w:ascii="Times New Roman" w:hAnsi="Times New Roman" w:eastAsia="仿宋_GB2312"/>
          <w:color w:val="000000"/>
          <w:sz w:val="32"/>
          <w:szCs w:val="32"/>
        </w:rPr>
        <w:t>，占全国的</w:t>
      </w:r>
      <w:r>
        <w:rPr>
          <w:rFonts w:ascii="Times New Roman" w:hAnsi="Times New Roman" w:eastAsia="仿宋_GB2312"/>
          <w:color w:val="000000"/>
          <w:sz w:val="32"/>
          <w:szCs w:val="32"/>
        </w:rPr>
        <w:t>0.67%</w:t>
      </w:r>
      <w:r>
        <w:rPr>
          <w:rFonts w:hint="eastAsia" w:ascii="Times New Roman" w:hAnsi="Times New Roman" w:eastAsia="仿宋_GB2312"/>
          <w:color w:val="000000"/>
          <w:sz w:val="32"/>
          <w:szCs w:val="32"/>
        </w:rPr>
        <w:t>，治理监管难度较大。废弃矿山及矿山废渣的不合理堆放</w:t>
      </w:r>
      <w:r>
        <w:rPr>
          <w:rFonts w:hint="eastAsia" w:ascii="Times New Roman" w:hAnsi="Times New Roman" w:eastAsia="仿宋_GB2312"/>
          <w:color w:val="000000"/>
          <w:spacing w:val="-5"/>
          <w:sz w:val="32"/>
          <w:szCs w:val="32"/>
        </w:rPr>
        <w:t>引发崩塌、滑坡、泥石流、地面塌陷等次生地质灾害，部分金属、非金属矿山选矿废水乱排乱放造成水体和土壤污染，部分矿山企业复垦不及时导致矿区植被损毁严重，生态修复技术难度高、资金投入大</w:t>
      </w:r>
      <w:r>
        <w:rPr>
          <w:rFonts w:hint="eastAsia" w:ascii="Times New Roman" w:hAnsi="Times New Roman" w:eastAsia="仿宋_GB2312"/>
          <w:color w:val="000000"/>
          <w:sz w:val="32"/>
          <w:szCs w:val="32"/>
        </w:rPr>
        <w:t>。</w:t>
      </w:r>
      <w:r>
        <w:rPr>
          <w:rFonts w:hint="eastAsia" w:ascii="Times New Roman" w:hAnsi="Times New Roman" w:eastAsia="仿宋_GB2312"/>
          <w:color w:val="000000"/>
          <w:spacing w:val="-5"/>
          <w:sz w:val="32"/>
          <w:szCs w:val="32"/>
        </w:rPr>
        <w:t>合法矿权退出补偿资金缺口较大。畜禽养殖废弃物乱排乱放造成水体、大气和土壤污染问题较为突出。</w:t>
      </w:r>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保护与发展压力较大。</w:t>
      </w:r>
      <w:r>
        <w:rPr>
          <w:rFonts w:hint="eastAsia" w:ascii="Times New Roman" w:hAnsi="Times New Roman" w:eastAsia="仿宋_GB2312"/>
          <w:color w:val="000000"/>
          <w:sz w:val="32"/>
          <w:szCs w:val="32"/>
        </w:rPr>
        <w:t>镇村污水、垃圾处理能力不强，农村污水垃圾处理设施欠账较大。洛南属于秦巴山集中连片贫困地区和川陕革命老区，</w:t>
      </w:r>
      <w:r>
        <w:rPr>
          <w:rFonts w:ascii="Times New Roman" w:hAnsi="Times New Roman" w:eastAsia="仿宋_GB2312"/>
          <w:color w:val="000000"/>
          <w:sz w:val="32"/>
          <w:szCs w:val="32"/>
        </w:rPr>
        <w:t>2019</w:t>
      </w:r>
      <w:r>
        <w:rPr>
          <w:rFonts w:hint="eastAsia" w:ascii="Times New Roman" w:hAnsi="Times New Roman" w:eastAsia="仿宋_GB2312"/>
          <w:color w:val="000000"/>
          <w:sz w:val="32"/>
          <w:szCs w:val="32"/>
        </w:rPr>
        <w:t>年底全县人均</w:t>
      </w:r>
      <w:r>
        <w:rPr>
          <w:rFonts w:ascii="Times New Roman" w:hAnsi="Times New Roman" w:eastAsia="仿宋_GB2312"/>
          <w:color w:val="000000"/>
          <w:sz w:val="32"/>
          <w:szCs w:val="32"/>
        </w:rPr>
        <w:t>GDP</w:t>
      </w:r>
      <w:r>
        <w:rPr>
          <w:rFonts w:hint="eastAsia" w:ascii="Times New Roman" w:hAnsi="Times New Roman" w:eastAsia="仿宋_GB2312"/>
          <w:color w:val="000000"/>
          <w:sz w:val="32"/>
          <w:szCs w:val="32"/>
        </w:rPr>
        <w:t>、人均地方财政收入和城乡居民收入均低于全省平均水平，基本公共服务不均衡，地方财力困难，主要依靠财政转移支付，经济社会发展相对滞后，在生态优先、保护优先的前提下，加快发展压力较大。</w:t>
      </w:r>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科技支撑能力不足。</w:t>
      </w:r>
      <w:r>
        <w:rPr>
          <w:rFonts w:hint="eastAsia" w:ascii="Times New Roman" w:hAnsi="Times New Roman" w:eastAsia="仿宋"/>
          <w:color w:val="000000"/>
          <w:sz w:val="32"/>
          <w:szCs w:val="32"/>
        </w:rPr>
        <w:t>在</w:t>
      </w:r>
      <w:r>
        <w:rPr>
          <w:rFonts w:hint="eastAsia" w:ascii="Times New Roman" w:hAnsi="Times New Roman" w:eastAsia="仿宋_GB2312"/>
          <w:color w:val="000000"/>
          <w:sz w:val="32"/>
          <w:szCs w:val="32"/>
        </w:rPr>
        <w:t>生态保护和修复标准体系建设、新技术推广、科研成果转化等方面比较欠缺，关键技术和措施的系统性、长效性不足。科技服务平台和服务体系不健全，支撑生态保护和修复的调查、监测、评价、预警等能力不足，部门间信息共享机制不够健全。生态保护和修复产业培育仍处于初级阶段。</w:t>
      </w:r>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生态保护意识不强。</w:t>
      </w:r>
      <w:r>
        <w:rPr>
          <w:rFonts w:hint="eastAsia" w:ascii="Times New Roman" w:hAnsi="Times New Roman" w:eastAsia="仿宋_GB2312"/>
          <w:color w:val="000000"/>
          <w:sz w:val="32"/>
          <w:szCs w:val="32"/>
        </w:rPr>
        <w:t>少数干部对秦岭生态环境保护的重大意义认识还不够充分，企业生态环境保护主体责任落实有待加强，群众传统的生活方式和消费观念尚未根本转变，节水节能、绿色消费、垃圾分类、绿色出行等还没有形成自觉行动。</w:t>
      </w:r>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制度体系亟需完善。</w:t>
      </w:r>
      <w:r>
        <w:rPr>
          <w:rFonts w:hint="eastAsia" w:ascii="Times New Roman" w:hAnsi="Times New Roman" w:eastAsia="仿宋_GB2312"/>
          <w:color w:val="000000"/>
          <w:sz w:val="32"/>
          <w:szCs w:val="32"/>
        </w:rPr>
        <w:t>与秦岭生态环境保护相适应的体制机制尚需完善，自然保护地体系不健全，生态产品价值实现、绿色金融、生态环境损害赔偿、生态保护补偿、联合执法监督、公众参与等机制仍需完善，产权清晰、多元参与、科技创新、系统完整的生态文明制度体系亟待完善。</w:t>
      </w:r>
    </w:p>
    <w:p>
      <w:pPr>
        <w:spacing w:line="560" w:lineRule="exact"/>
        <w:ind w:firstLine="643" w:firstLineChars="200"/>
        <w:rPr>
          <w:rFonts w:ascii="Times New Roman" w:hAnsi="Times New Roman" w:eastAsia="楷体_GB2312"/>
          <w:b/>
          <w:bCs/>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21" w:name="_Toc23048"/>
      <w:bookmarkStart w:id="22" w:name="_Toc30704"/>
      <w:bookmarkStart w:id="23" w:name="_Toc20218"/>
      <w:r>
        <w:rPr>
          <w:rFonts w:hint="eastAsia" w:ascii="Times New Roman" w:hAnsi="Times New Roman" w:eastAsia="楷体_GB2312"/>
          <w:b/>
          <w:bCs/>
          <w:color w:val="000000"/>
          <w:sz w:val="32"/>
          <w:szCs w:val="32"/>
        </w:rPr>
        <w:t>第六节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重要机遇</w:t>
      </w:r>
      <w:bookmarkEnd w:id="21"/>
      <w:bookmarkEnd w:id="22"/>
      <w:bookmarkEnd w:id="23"/>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习近平总书记高度重视生态文明建设。</w:t>
      </w:r>
      <w:r>
        <w:rPr>
          <w:rFonts w:hint="eastAsia" w:ascii="Times New Roman" w:hAnsi="Times New Roman" w:eastAsia="仿宋_GB2312"/>
          <w:color w:val="000000"/>
          <w:sz w:val="32"/>
          <w:szCs w:val="32"/>
        </w:rPr>
        <w:t>习近平总书记反复强调生态兴则文明兴，生态衰则文明衰，提出坚持人与自然和谐共生、绿水青山就是金山银山、良好生态环境是最普惠的民生福祉、山水林田湖草是生命共同体等一系列新理念新思想新战略，推动生态环境保护发生了历史性、转折性、全局性变化。特别是习近平总书记对秦岭生态环境保护高度重视，多次作出重要指示批示，要求我们履行好职责，当好秦岭生态卫士，让秦岭的美景永驻、青山常在、绿水长流，持之以恒地有效地加以保护，为秦岭生态环境保护提供了根本遵循。</w:t>
      </w:r>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党中央、国务院对生态文明建设作出一系列战略部署。</w:t>
      </w:r>
      <w:r>
        <w:rPr>
          <w:rFonts w:hint="eastAsia" w:ascii="Times New Roman" w:hAnsi="Times New Roman" w:eastAsia="仿宋_GB2312"/>
          <w:color w:val="000000"/>
          <w:sz w:val="32"/>
          <w:szCs w:val="32"/>
        </w:rPr>
        <w:t>党的十八大以来，以习近平同志为核心的党中央，深刻总结人类文明发展规律，将生态文明建设纳入中国特色社会主义</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五位一体</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总体布局和</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四个全面</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战略布局。新时代推进西部大开发形成新格局、黄河流域生态保护和高质量发展、推动长江经济带高质量发展、全国重要生态系统保护和修复重大工程总体规划等国家战略均把秦岭作为重要区域，为加强秦岭生态环境保护工作提供了战略机遇。</w:t>
      </w:r>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省委、省政府不断加大秦岭生态环境保护力度。</w:t>
      </w:r>
      <w:r>
        <w:rPr>
          <w:rFonts w:hint="eastAsia" w:ascii="Times New Roman" w:hAnsi="Times New Roman" w:eastAsia="仿宋_GB2312"/>
          <w:color w:val="000000"/>
          <w:sz w:val="32"/>
          <w:szCs w:val="32"/>
        </w:rPr>
        <w:t>近年来，省委、省政府深入贯彻习近平生态文明思想，全面落实党中央、国务院决策部署，严格执行《条例》，进一步巩固秦岭北麓西安境内违建别墅问题专项整治成效，持续推进陕南绿色循环发展区域战略，积极实施天然林保护、水土保持、植被恢复、矿山环境修复治理等重大工程建设，推动秦岭生态环境质量持续好转，为加强秦岭生态环境保护提供了重要机遇。</w:t>
      </w:r>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县委、县政府把秦岭生态环境保护摆上首要位置。</w:t>
      </w:r>
      <w:r>
        <w:rPr>
          <w:rFonts w:hint="eastAsia" w:ascii="Times New Roman" w:hAnsi="Times New Roman" w:eastAsia="仿宋_GB2312"/>
          <w:color w:val="000000"/>
          <w:sz w:val="32"/>
          <w:szCs w:val="32"/>
        </w:rPr>
        <w:t>县委、县政府进一步加强对秦岭生态环境保护工作的领导，成立了由县委书记任第一主任、县长任主任的秦岭生态环境保护委员会，不断强化秦岭保护责任。特别是随着习近平生态文明思想不断深入人心，全社会生态环境保护意识不断增强，广大干部群众关注秦岭、保护秦岭的自觉性积极性日益增强。全县上下坚定不移走保护优先、生态优先、绿色发展之路，以</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第一站</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的追求、</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第一站</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的担当，全力以赴做好秦岭生态环境保护工作，切实当好秦岭生态卫士，回报总书记的殷殷重托和殷切期待，为加强秦岭生态环境保护提供了现实基础。</w:t>
      </w:r>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体制机制不断完善有利生态环境保护。</w:t>
      </w:r>
      <w:r>
        <w:rPr>
          <w:rFonts w:hint="eastAsia" w:ascii="Times New Roman" w:hAnsi="Times New Roman" w:eastAsia="仿宋_GB2312"/>
          <w:color w:val="000000"/>
          <w:sz w:val="32"/>
          <w:szCs w:val="32"/>
        </w:rPr>
        <w:t>随着《陕西省秦岭生态环境保护条例》（以下简称《条例》）、《陕西省秦岭生态环境保护总体规划》（以下简称《总体规划》）、相关省级专项规划和国土空间规划等的陆续出台，秦岭生态环境保护的法制网不断织密，以及中央和省级环保督察、专项巡视等常态化开展，长效机制不断完善，为加强秦岭生态环境保护提供了健全的法治保障。特别是近年来，我县专项整治成效进一步巩固，</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五乱</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问题整治持续深化，每年召开秦岭生态环境保护大会，实施秦岭生态环境保护</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天地一体化</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监测，开展秦岭生态环境保护专项督查检查，加强各级秦岭生态环境保护工作力量，设立秦岭生态环境保护专项资金，将秦岭生态环境保护纳入年度目标责任考核，为加强秦岭生态环境保护提供了基本保证。</w:t>
      </w:r>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绿色发展成为洛南最有发展前景的领域。</w:t>
      </w:r>
      <w:r>
        <w:rPr>
          <w:rFonts w:hint="eastAsia" w:ascii="Times New Roman" w:hAnsi="Times New Roman" w:eastAsia="仿宋_GB2312"/>
          <w:color w:val="000000"/>
          <w:sz w:val="32"/>
          <w:szCs w:val="32"/>
        </w:rPr>
        <w:t>随着习近平生态文明思想不断深入人心，全社会生态环境保护意识不断增强，人民群众</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盼环保</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求生态</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对清新的空气、干净的水、安全的食品、优美的环境等的要求越来越高，洛南良好的生态环境日益成为更好的满足群众对美好生活需要的最宝贵资源，绿色生态将会成为最大财富、最大优势、最大品牌。我县的生态优势、区位优势及</w:t>
      </w:r>
      <w:r>
        <w:rPr>
          <w:rFonts w:ascii="Times New Roman" w:hAnsi="Times New Roman" w:eastAsia="仿宋_GB2312"/>
          <w:color w:val="000000"/>
          <w:kern w:val="0"/>
          <w:sz w:val="32"/>
          <w:szCs w:val="32"/>
        </w:rPr>
        <w:t>“</w:t>
      </w:r>
      <w:r>
        <w:rPr>
          <w:rFonts w:hint="eastAsia" w:ascii="Times New Roman" w:hAnsi="Times New Roman" w:eastAsia="仿宋_GB2312"/>
          <w:color w:val="000000"/>
          <w:kern w:val="0"/>
          <w:sz w:val="32"/>
          <w:szCs w:val="32"/>
        </w:rPr>
        <w:t>中国梦</w:t>
      </w:r>
      <w:r>
        <w:rPr>
          <w:rFonts w:ascii="Times New Roman" w:hAnsi="Times New Roman" w:eastAsia="仿宋_GB2312"/>
          <w:color w:val="000000"/>
          <w:kern w:val="0"/>
          <w:sz w:val="32"/>
          <w:szCs w:val="32"/>
        </w:rPr>
        <w:t>•2013</w:t>
      </w:r>
      <w:r>
        <w:rPr>
          <w:rFonts w:hint="eastAsia" w:ascii="Times New Roman" w:hAnsi="Times New Roman" w:eastAsia="仿宋_GB2312"/>
          <w:color w:val="000000"/>
          <w:kern w:val="0"/>
          <w:sz w:val="32"/>
          <w:szCs w:val="32"/>
        </w:rPr>
        <w:t>避暑之都</w:t>
      </w:r>
      <w:r>
        <w:rPr>
          <w:rFonts w:ascii="Times New Roman" w:hAnsi="Times New Roman" w:eastAsia="仿宋_GB2312"/>
          <w:color w:val="000000"/>
          <w:kern w:val="0"/>
          <w:sz w:val="32"/>
          <w:szCs w:val="32"/>
        </w:rPr>
        <w:t>”</w:t>
      </w:r>
      <w:r>
        <w:rPr>
          <w:rFonts w:hint="eastAsia" w:ascii="Times New Roman" w:hAnsi="Times New Roman" w:eastAsia="仿宋_GB2312"/>
          <w:color w:val="000000"/>
          <w:kern w:val="0"/>
          <w:sz w:val="32"/>
          <w:szCs w:val="32"/>
        </w:rPr>
        <w:t>、</w:t>
      </w:r>
      <w:r>
        <w:rPr>
          <w:rFonts w:ascii="Times New Roman" w:hAnsi="Times New Roman" w:eastAsia="仿宋_GB2312"/>
          <w:color w:val="000000"/>
          <w:kern w:val="0"/>
          <w:sz w:val="32"/>
          <w:szCs w:val="32"/>
        </w:rPr>
        <w:t>“2014</w:t>
      </w:r>
      <w:r>
        <w:rPr>
          <w:rFonts w:hint="eastAsia" w:ascii="Times New Roman" w:hAnsi="Times New Roman" w:eastAsia="仿宋_GB2312"/>
          <w:color w:val="000000"/>
          <w:kern w:val="0"/>
          <w:sz w:val="32"/>
          <w:szCs w:val="32"/>
        </w:rPr>
        <w:t>中国宜居生态示范县</w:t>
      </w:r>
      <w:r>
        <w:rPr>
          <w:rFonts w:ascii="Times New Roman" w:hAnsi="Times New Roman" w:eastAsia="仿宋_GB2312"/>
          <w:color w:val="000000"/>
          <w:kern w:val="0"/>
          <w:sz w:val="32"/>
          <w:szCs w:val="32"/>
        </w:rPr>
        <w:t>”</w:t>
      </w:r>
      <w:r>
        <w:rPr>
          <w:rFonts w:hint="eastAsia" w:ascii="Times New Roman" w:hAnsi="Times New Roman" w:eastAsia="仿宋_GB2312"/>
          <w:color w:val="000000"/>
          <w:sz w:val="32"/>
          <w:szCs w:val="32"/>
        </w:rPr>
        <w:t>等金字招牌，为加快绿色高质量发展、实现后来者居上奠定最坚实的基础。</w:t>
      </w:r>
    </w:p>
    <w:p>
      <w:pPr>
        <w:spacing w:line="560" w:lineRule="exact"/>
        <w:ind w:firstLine="640" w:firstLineChars="200"/>
        <w:rPr>
          <w:rFonts w:ascii="Times New Roman" w:hAnsi="Times New Roman" w:eastAsia="仿宋_GB2312"/>
          <w:color w:val="000000"/>
          <w:sz w:val="32"/>
          <w:szCs w:val="32"/>
        </w:rPr>
      </w:pPr>
    </w:p>
    <w:p>
      <w:pPr>
        <w:spacing w:line="560" w:lineRule="exact"/>
        <w:jc w:val="center"/>
        <w:outlineLvl w:val="0"/>
        <w:rPr>
          <w:rFonts w:ascii="Times New Roman" w:hAnsi="Times New Roman" w:eastAsia="黑体"/>
          <w:color w:val="000000"/>
          <w:sz w:val="32"/>
          <w:szCs w:val="32"/>
        </w:rPr>
      </w:pPr>
      <w:bookmarkStart w:id="24" w:name="_Toc21965"/>
      <w:bookmarkStart w:id="25" w:name="_Toc2537"/>
      <w:bookmarkStart w:id="26" w:name="_Toc28479"/>
      <w:r>
        <w:rPr>
          <w:rFonts w:hint="eastAsia" w:ascii="Times New Roman" w:hAnsi="Times New Roman" w:eastAsia="黑体"/>
          <w:color w:val="000000"/>
          <w:sz w:val="32"/>
          <w:szCs w:val="32"/>
        </w:rPr>
        <w:t>第二章</w:t>
      </w:r>
      <w:r>
        <w:rPr>
          <w:rFonts w:ascii="Times New Roman" w:hAnsi="Times New Roman" w:eastAsia="黑体"/>
          <w:color w:val="000000"/>
          <w:sz w:val="32"/>
          <w:szCs w:val="32"/>
        </w:rPr>
        <w:t xml:space="preserve">  </w:t>
      </w:r>
      <w:r>
        <w:rPr>
          <w:rFonts w:hint="eastAsia" w:ascii="Times New Roman" w:hAnsi="Times New Roman" w:eastAsia="黑体"/>
          <w:color w:val="000000"/>
          <w:sz w:val="32"/>
          <w:szCs w:val="32"/>
        </w:rPr>
        <w:t>总体要求</w:t>
      </w:r>
      <w:bookmarkEnd w:id="24"/>
      <w:bookmarkEnd w:id="25"/>
      <w:bookmarkEnd w:id="26"/>
    </w:p>
    <w:p>
      <w:pPr>
        <w:spacing w:line="560" w:lineRule="exact"/>
        <w:ind w:firstLine="640" w:firstLineChars="200"/>
        <w:jc w:val="center"/>
        <w:rPr>
          <w:rFonts w:ascii="Times New Roman" w:hAnsi="Times New Roman" w:eastAsia="仿宋_GB2312"/>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27" w:name="_Toc13135"/>
      <w:bookmarkStart w:id="28" w:name="_Toc3051"/>
      <w:bookmarkStart w:id="29" w:name="_Toc974"/>
      <w:r>
        <w:rPr>
          <w:rFonts w:hint="eastAsia" w:ascii="Times New Roman" w:hAnsi="Times New Roman" w:eastAsia="楷体_GB2312"/>
          <w:b/>
          <w:bCs/>
          <w:color w:val="000000"/>
          <w:sz w:val="32"/>
          <w:szCs w:val="32"/>
        </w:rPr>
        <w:t>第一节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指导思想</w:t>
      </w:r>
      <w:bookmarkEnd w:id="27"/>
      <w:bookmarkEnd w:id="28"/>
      <w:bookmarkEnd w:id="29"/>
    </w:p>
    <w:p>
      <w:pPr>
        <w:spacing w:line="560" w:lineRule="exact"/>
        <w:ind w:firstLine="640" w:firstLineChars="200"/>
        <w:rPr>
          <w:rFonts w:ascii="Times New Roman" w:hAnsi="Times New Roman" w:eastAsia="楷体_GB2312"/>
          <w:b/>
          <w:bCs/>
          <w:color w:val="000000"/>
          <w:sz w:val="32"/>
          <w:szCs w:val="32"/>
        </w:rPr>
      </w:pPr>
      <w:r>
        <w:rPr>
          <w:rFonts w:hint="eastAsia" w:ascii="Times New Roman" w:hAnsi="Times New Roman" w:eastAsia="仿宋_GB2312"/>
          <w:color w:val="000000"/>
          <w:sz w:val="32"/>
          <w:szCs w:val="32"/>
        </w:rPr>
        <w:t>以习近平新时代中国特色社会主义思想为指导，认真落实习近平生态文明思想，深入贯彻习近平总书记关于秦岭生态环境保护的重要讲话和重要指示批示精神，认真落实党中央、国务院决策部署，省委、省政府和市委、市政府工作要求，增强</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四个意识</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、坚定</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四个自信</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、做到</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两个维护</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，坚持新发展理念，坚持保护优先、绿色发展，坚定不移实施绿色循环发展，探索生态优县、实业强县、文旅活县、城镇兴县</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四条路径</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，以对党、对历史、对人民高度负责的精神，以</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第一站</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的追求、</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第一站</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的担当，当好秦岭生态卫士，持之以恒地有效地保护国家生态安全屏障，让秦岭的美景永驻、青山常在、绿水长流，奋力谱写洛南新时代追赶超越新篇章。</w:t>
      </w:r>
    </w:p>
    <w:p>
      <w:pPr>
        <w:spacing w:line="560" w:lineRule="exact"/>
        <w:jc w:val="center"/>
        <w:rPr>
          <w:rFonts w:ascii="Times New Roman" w:hAnsi="Times New Roman" w:eastAsia="楷体_GB2312"/>
          <w:b/>
          <w:bCs/>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30" w:name="_Toc3334"/>
      <w:bookmarkStart w:id="31" w:name="_Toc6950"/>
      <w:bookmarkStart w:id="32" w:name="_Toc8731"/>
      <w:r>
        <w:rPr>
          <w:rFonts w:hint="eastAsia" w:ascii="Times New Roman" w:hAnsi="Times New Roman" w:eastAsia="楷体_GB2312"/>
          <w:b/>
          <w:bCs/>
          <w:color w:val="000000"/>
          <w:sz w:val="32"/>
          <w:szCs w:val="32"/>
        </w:rPr>
        <w:t>第二节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基本原则</w:t>
      </w:r>
      <w:bookmarkEnd w:id="30"/>
      <w:bookmarkEnd w:id="31"/>
      <w:bookmarkEnd w:id="32"/>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坚持保护优先。</w:t>
      </w:r>
      <w:r>
        <w:rPr>
          <w:rFonts w:hint="eastAsia" w:ascii="Times New Roman" w:hAnsi="Times New Roman" w:eastAsia="仿宋_GB2312"/>
          <w:color w:val="000000"/>
          <w:sz w:val="32"/>
          <w:szCs w:val="32"/>
        </w:rPr>
        <w:t>牢固树立和践行绿水青山就是金山银山理念，尊重自然、顺应自然、保护自然，像保护眼睛一样保护秦岭生态环境，像对待生命一样对待秦岭生态环境，依法依规对各类开发建设活动实行强制性、全过程监管，充分发挥大自然的自我修复功能，避免人类对秦岭生态环境的过度干预。</w:t>
      </w:r>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坚持统筹规划。</w:t>
      </w:r>
      <w:r>
        <w:rPr>
          <w:rFonts w:hint="eastAsia" w:ascii="Times New Roman" w:hAnsi="Times New Roman" w:eastAsia="仿宋_GB2312"/>
          <w:color w:val="000000"/>
          <w:sz w:val="32"/>
          <w:szCs w:val="32"/>
        </w:rPr>
        <w:t>开发建设活动应遵循先规划、后建设原则，涉及秦岭的各类区域规划、专项规划应当符合《条例》和《总体规划》的要求。秦岭生态环境保护各专项规划应当依法进行规划环境影响评价，各专项规划之间应当相互衔接，逐步实行</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多规合一</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。统筹做好各类规划与自然保护地整合优化、生态保护红线划定、国土空间总体规划等的有效衔接。</w:t>
      </w:r>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坚持严格监管。</w:t>
      </w:r>
      <w:r>
        <w:rPr>
          <w:rFonts w:hint="eastAsia" w:ascii="Times New Roman" w:hAnsi="Times New Roman" w:eastAsia="仿宋_GB2312"/>
          <w:color w:val="000000"/>
          <w:sz w:val="32"/>
          <w:szCs w:val="32"/>
        </w:rPr>
        <w:t>扎实推进主体功能区建设，确定城镇、农业、生态空间布局，划定落实城镇开发边界、永久基本农田和生态保护红线，落地秦岭保护方案分区范围及管控要求，清晰划分并夯实各方各级责任，健全网格化信息化监管和联合执法机制，实现动态监管全覆盖，违规行为</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零容忍</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w:t>
      </w:r>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坚持绿色发展。</w:t>
      </w:r>
      <w:r>
        <w:rPr>
          <w:rFonts w:hint="eastAsia" w:ascii="Times New Roman" w:hAnsi="Times New Roman" w:eastAsia="仿宋_GB2312"/>
          <w:color w:val="000000"/>
          <w:sz w:val="32"/>
          <w:szCs w:val="32"/>
        </w:rPr>
        <w:t>全面推进资源节约集约和循环利用，淘汰高污染、高耗能、高排放落后产能，鼓励发展绿色循环经济，推广示范工程和先进技术应用，推进以生态产业化和产业生态化为主体的生态经济体系，建设生态产品供应基地，走绿色、循环、可持续的高质量发展之路。</w:t>
      </w:r>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坚持科学治理。</w:t>
      </w:r>
      <w:r>
        <w:rPr>
          <w:rFonts w:hint="eastAsia" w:ascii="Times New Roman" w:hAnsi="Times New Roman" w:eastAsia="仿宋_GB2312"/>
          <w:color w:val="000000"/>
          <w:sz w:val="32"/>
          <w:szCs w:val="32"/>
        </w:rPr>
        <w:t>坚持山水林田湖草生命共同体理念，遵循生态系统内在机理，以生态本底和自然禀赋为基础，关注生态质量提升和生态风险防控，强化科技支撑作用，因地制宜、实事求是，科学配置保护和修复、自然和人工、生物和工程等措施，推进一体化生态保护和修复。</w:t>
      </w:r>
    </w:p>
    <w:p>
      <w:pPr>
        <w:spacing w:line="560" w:lineRule="exact"/>
        <w:ind w:firstLine="643" w:firstLineChars="200"/>
        <w:jc w:val="left"/>
        <w:rPr>
          <w:rFonts w:ascii="Times New Roman" w:hAnsi="Times New Roman"/>
          <w:color w:val="000000"/>
        </w:rPr>
      </w:pPr>
      <w:r>
        <w:rPr>
          <w:rFonts w:hint="eastAsia" w:ascii="Times New Roman" w:hAnsi="Times New Roman" w:eastAsia="楷体_GB2312"/>
          <w:b/>
          <w:bCs/>
          <w:color w:val="000000"/>
          <w:sz w:val="32"/>
          <w:szCs w:val="32"/>
        </w:rPr>
        <w:t>坚持共同参与。</w:t>
      </w:r>
      <w:r>
        <w:rPr>
          <w:rFonts w:hint="eastAsia" w:ascii="Times New Roman" w:hAnsi="Times New Roman" w:eastAsia="仿宋_GB2312"/>
          <w:color w:val="000000"/>
          <w:kern w:val="0"/>
          <w:sz w:val="31"/>
          <w:szCs w:val="31"/>
        </w:rPr>
        <w:t>充分发挥政府、企业、民间组织和个人等各方积极性，严格落实企业主体责任和政府监管责任，加大资金投入，提高群众生态保护意识，推进形成政府主导、多元主体参与的秦岭生态环境保护长效机制。</w:t>
      </w:r>
      <w:r>
        <w:rPr>
          <w:rFonts w:ascii="Times New Roman" w:hAnsi="Times New Roman" w:eastAsia="仿宋_GB2312"/>
          <w:color w:val="000000"/>
          <w:kern w:val="0"/>
          <w:sz w:val="31"/>
          <w:szCs w:val="31"/>
        </w:rPr>
        <w:t xml:space="preserve"> </w:t>
      </w:r>
    </w:p>
    <w:p>
      <w:pPr>
        <w:spacing w:line="560" w:lineRule="exact"/>
        <w:ind w:firstLine="640" w:firstLineChars="200"/>
        <w:rPr>
          <w:rFonts w:ascii="Times New Roman" w:hAnsi="Times New Roman" w:eastAsia="仿宋_GB2312"/>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33" w:name="_Toc25762"/>
      <w:bookmarkStart w:id="34" w:name="_Toc15133"/>
      <w:bookmarkStart w:id="35" w:name="_Toc4337"/>
      <w:r>
        <w:rPr>
          <w:rFonts w:hint="eastAsia" w:ascii="Times New Roman" w:hAnsi="Times New Roman" w:eastAsia="楷体_GB2312"/>
          <w:b/>
          <w:bCs/>
          <w:color w:val="000000"/>
          <w:sz w:val="32"/>
          <w:szCs w:val="32"/>
        </w:rPr>
        <w:t>第三节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编制依据</w:t>
      </w:r>
      <w:bookmarkEnd w:id="33"/>
      <w:bookmarkEnd w:id="34"/>
      <w:bookmarkEnd w:id="35"/>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习近平总书记来陕考察重要讲话重要指示精神以及关于秦岭生态环境保护的历次批示精神，党中央、国务院关于生态环境保护的重大决策部署和有关法律法规。省委《关于全面加强秦岭生态环境保护工作的决定》，省十三届人大常委会第十三次会议修订通过的《陕西省秦岭生态环境保护条例》，新修编的《陕西省秦岭生态环境保护总体规划》。商洛市委四届九次全会通过的《关于深入贯彻落实习近平总书记来陕考察重要讲话重要指示精神奋力谱写商洛新时代追赶超越新篇章的决定》，商洛市委、市政府出台的《关于全面加强秦岭生态环境保护十五条措施》《商洛市深入学习贯彻习近平总书记来陕考察重要讲话重要指示精神全面加强秦岭生态环境保护推动生态环境质量持续好转的实施意见》。洛南县人民政府《关于落实陕西省秦岭生态环境保护条例》的通知、《洛南县落实</w:t>
      </w:r>
      <w:r>
        <w:rPr>
          <w:rFonts w:ascii="Times New Roman" w:hAnsi="Times New Roman" w:eastAsia="微软雅黑"/>
          <w:color w:val="000000"/>
          <w:sz w:val="32"/>
          <w:szCs w:val="32"/>
        </w:rPr>
        <w:t>&lt;</w:t>
      </w:r>
      <w:r>
        <w:rPr>
          <w:rFonts w:hint="eastAsia" w:ascii="Times New Roman" w:hAnsi="Times New Roman" w:eastAsia="仿宋_GB2312"/>
          <w:color w:val="000000"/>
          <w:sz w:val="32"/>
          <w:szCs w:val="32"/>
        </w:rPr>
        <w:t>陕西省秦岭生态环境保护条例</w:t>
      </w:r>
      <w:r>
        <w:rPr>
          <w:rFonts w:ascii="Times New Roman" w:hAnsi="Times New Roman" w:eastAsia="微软雅黑"/>
          <w:color w:val="000000"/>
          <w:sz w:val="32"/>
          <w:szCs w:val="32"/>
        </w:rPr>
        <w:t>&gt;</w:t>
      </w:r>
      <w:r>
        <w:rPr>
          <w:rFonts w:hint="eastAsia" w:ascii="Times New Roman" w:hAnsi="Times New Roman" w:eastAsia="仿宋_GB2312"/>
          <w:color w:val="000000"/>
          <w:sz w:val="32"/>
          <w:szCs w:val="32"/>
        </w:rPr>
        <w:t>重点任务分工方案》，以及县委、县政府关于加强秦岭生态环境保护的一系列决策部署。</w:t>
      </w:r>
    </w:p>
    <w:p>
      <w:pPr>
        <w:spacing w:line="560" w:lineRule="exact"/>
        <w:ind w:firstLine="640" w:firstLineChars="200"/>
        <w:rPr>
          <w:rFonts w:ascii="Times New Roman" w:hAnsi="Times New Roman" w:eastAsia="仿宋_GB2312"/>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36" w:name="_Toc2385"/>
      <w:bookmarkStart w:id="37" w:name="_Toc15830"/>
      <w:bookmarkStart w:id="38" w:name="_Toc3624"/>
      <w:r>
        <w:rPr>
          <w:rFonts w:hint="eastAsia" w:ascii="Times New Roman" w:hAnsi="Times New Roman" w:eastAsia="楷体_GB2312"/>
          <w:b/>
          <w:bCs/>
          <w:color w:val="000000"/>
          <w:sz w:val="32"/>
          <w:szCs w:val="32"/>
        </w:rPr>
        <w:t>第四节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方案目标</w:t>
      </w:r>
      <w:bookmarkEnd w:id="36"/>
      <w:bookmarkEnd w:id="37"/>
      <w:bookmarkEnd w:id="38"/>
    </w:p>
    <w:p>
      <w:pPr>
        <w:spacing w:line="560" w:lineRule="exact"/>
        <w:ind w:firstLine="643" w:firstLineChars="200"/>
        <w:rPr>
          <w:rFonts w:ascii="Times New Roman" w:hAnsi="Times New Roman" w:eastAsia="仿宋_GB2312"/>
          <w:color w:val="000000"/>
          <w:sz w:val="32"/>
          <w:szCs w:val="32"/>
        </w:rPr>
      </w:pPr>
      <w:r>
        <w:rPr>
          <w:rFonts w:ascii="Times New Roman" w:hAnsi="Times New Roman" w:eastAsia="楷体_GB2312"/>
          <w:b/>
          <w:bCs/>
          <w:color w:val="000000"/>
          <w:sz w:val="32"/>
          <w:szCs w:val="32"/>
        </w:rPr>
        <w:t>——</w:t>
      </w:r>
      <w:r>
        <w:rPr>
          <w:rFonts w:hint="eastAsia" w:ascii="Times New Roman" w:hAnsi="Times New Roman" w:eastAsia="楷体_GB2312"/>
          <w:b/>
          <w:bCs/>
          <w:color w:val="000000"/>
          <w:sz w:val="32"/>
          <w:szCs w:val="32"/>
        </w:rPr>
        <w:t>到</w:t>
      </w:r>
      <w:r>
        <w:rPr>
          <w:rFonts w:ascii="Times New Roman" w:hAnsi="Times New Roman" w:eastAsia="楷体_GB2312"/>
          <w:b/>
          <w:bCs/>
          <w:color w:val="000000"/>
          <w:sz w:val="32"/>
          <w:szCs w:val="32"/>
        </w:rPr>
        <w:t>2025</w:t>
      </w:r>
      <w:r>
        <w:rPr>
          <w:rFonts w:hint="eastAsia" w:ascii="Times New Roman" w:hAnsi="Times New Roman" w:eastAsia="楷体_GB2312"/>
          <w:b/>
          <w:bCs/>
          <w:color w:val="000000"/>
          <w:sz w:val="32"/>
          <w:szCs w:val="32"/>
        </w:rPr>
        <w:t>年，</w:t>
      </w:r>
      <w:r>
        <w:rPr>
          <w:rFonts w:hint="eastAsia" w:ascii="Times New Roman" w:hAnsi="Times New Roman" w:eastAsia="仿宋_GB2312"/>
          <w:color w:val="000000"/>
          <w:sz w:val="32"/>
          <w:szCs w:val="32"/>
        </w:rPr>
        <w:t>国土空间</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三区三线</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全面划定，实现</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多规合一</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，以国家公园为主体的自然保护地体系基本建成，主体功能区战略和制度全面落地。生态功能水平不断提升，森林覆盖率稳定在</w:t>
      </w:r>
      <w:r>
        <w:rPr>
          <w:rFonts w:ascii="Times New Roman" w:hAnsi="Times New Roman" w:eastAsia="仿宋_GB2312"/>
          <w:color w:val="000000"/>
          <w:sz w:val="32"/>
          <w:szCs w:val="32"/>
        </w:rPr>
        <w:t>70%</w:t>
      </w:r>
      <w:r>
        <w:rPr>
          <w:rFonts w:hint="eastAsia" w:ascii="Times New Roman" w:hAnsi="Times New Roman" w:eastAsia="仿宋_GB2312"/>
          <w:color w:val="000000"/>
          <w:sz w:val="32"/>
          <w:szCs w:val="32"/>
        </w:rPr>
        <w:t>以上，野生动物重要栖息地面积保护率超过</w:t>
      </w:r>
      <w:r>
        <w:rPr>
          <w:rFonts w:ascii="Times New Roman" w:hAnsi="Times New Roman" w:eastAsia="仿宋_GB2312"/>
          <w:color w:val="000000"/>
          <w:sz w:val="32"/>
          <w:szCs w:val="32"/>
        </w:rPr>
        <w:t>65%</w:t>
      </w:r>
      <w:r>
        <w:rPr>
          <w:rFonts w:hint="eastAsia" w:ascii="Times New Roman" w:hAnsi="Times New Roman" w:eastAsia="仿宋_GB2312"/>
          <w:color w:val="000000"/>
          <w:sz w:val="32"/>
          <w:szCs w:val="32"/>
        </w:rPr>
        <w:t>，湿地保护率超过</w:t>
      </w:r>
      <w:r>
        <w:rPr>
          <w:rFonts w:ascii="Times New Roman" w:hAnsi="Times New Roman" w:eastAsia="仿宋_GB2312"/>
          <w:color w:val="000000"/>
          <w:sz w:val="32"/>
          <w:szCs w:val="32"/>
        </w:rPr>
        <w:t>30%</w:t>
      </w:r>
      <w:r>
        <w:rPr>
          <w:rFonts w:hint="eastAsia" w:ascii="Times New Roman" w:hAnsi="Times New Roman" w:eastAsia="仿宋_GB2312"/>
          <w:color w:val="000000"/>
          <w:sz w:val="32"/>
          <w:szCs w:val="32"/>
        </w:rPr>
        <w:t>，饮用水水源水质达标率达到</w:t>
      </w:r>
      <w:r>
        <w:rPr>
          <w:rFonts w:ascii="Times New Roman" w:hAnsi="Times New Roman" w:eastAsia="仿宋_GB2312"/>
          <w:color w:val="000000"/>
          <w:sz w:val="32"/>
          <w:szCs w:val="32"/>
        </w:rPr>
        <w:t>100%</w:t>
      </w:r>
      <w:r>
        <w:rPr>
          <w:rFonts w:hint="eastAsia" w:ascii="Times New Roman" w:hAnsi="Times New Roman" w:eastAsia="仿宋_GB2312"/>
          <w:color w:val="000000"/>
          <w:sz w:val="32"/>
          <w:szCs w:val="32"/>
        </w:rPr>
        <w:t>，历史遗留矿山地质环境治理率达到</w:t>
      </w:r>
      <w:r>
        <w:rPr>
          <w:rFonts w:ascii="Times New Roman" w:hAnsi="Times New Roman" w:eastAsia="仿宋_GB2312"/>
          <w:color w:val="000000"/>
          <w:sz w:val="32"/>
          <w:szCs w:val="32"/>
        </w:rPr>
        <w:t>50%</w:t>
      </w:r>
      <w:r>
        <w:rPr>
          <w:rFonts w:hint="eastAsia" w:ascii="Times New Roman" w:hAnsi="Times New Roman" w:eastAsia="仿宋_GB2312"/>
          <w:color w:val="000000"/>
          <w:sz w:val="32"/>
          <w:szCs w:val="32"/>
        </w:rPr>
        <w:t>，新增水土流失治理面积</w:t>
      </w:r>
      <w:r>
        <w:rPr>
          <w:rFonts w:ascii="Times New Roman" w:hAnsi="Times New Roman" w:eastAsia="仿宋_GB2312"/>
          <w:color w:val="000000"/>
          <w:sz w:val="32"/>
          <w:szCs w:val="32"/>
        </w:rPr>
        <w:t>5.4</w:t>
      </w:r>
      <w:r>
        <w:rPr>
          <w:rFonts w:hint="eastAsia" w:ascii="Times New Roman" w:hAnsi="Times New Roman" w:eastAsia="仿宋_GB2312"/>
          <w:color w:val="000000"/>
          <w:sz w:val="32"/>
          <w:szCs w:val="32"/>
        </w:rPr>
        <w:t>平方公里。经济社会发展水平和区域可持续发展能力稳步提升，公共服务能力、基础设施建设、资源集约节约利用水平大幅提高。</w:t>
      </w:r>
    </w:p>
    <w:p>
      <w:pPr>
        <w:spacing w:line="560" w:lineRule="exact"/>
        <w:ind w:firstLine="643" w:firstLineChars="200"/>
        <w:rPr>
          <w:rFonts w:ascii="Times New Roman" w:hAnsi="Times New Roman" w:eastAsia="仿宋_GB2312"/>
          <w:color w:val="000000"/>
          <w:sz w:val="32"/>
          <w:szCs w:val="32"/>
        </w:rPr>
      </w:pPr>
      <w:r>
        <w:rPr>
          <w:rFonts w:ascii="Times New Roman" w:hAnsi="Times New Roman" w:eastAsia="楷体_GB2312"/>
          <w:b/>
          <w:bCs/>
          <w:color w:val="000000"/>
          <w:sz w:val="32"/>
          <w:szCs w:val="32"/>
        </w:rPr>
        <w:t>——</w:t>
      </w:r>
      <w:r>
        <w:rPr>
          <w:rFonts w:hint="eastAsia" w:ascii="Times New Roman" w:hAnsi="Times New Roman" w:eastAsia="楷体_GB2312"/>
          <w:b/>
          <w:bCs/>
          <w:color w:val="000000"/>
          <w:sz w:val="32"/>
          <w:szCs w:val="32"/>
        </w:rPr>
        <w:t>到</w:t>
      </w:r>
      <w:r>
        <w:rPr>
          <w:rFonts w:ascii="Times New Roman" w:hAnsi="Times New Roman" w:eastAsia="楷体_GB2312"/>
          <w:b/>
          <w:bCs/>
          <w:color w:val="000000"/>
          <w:sz w:val="32"/>
          <w:szCs w:val="32"/>
        </w:rPr>
        <w:t>2035</w:t>
      </w:r>
      <w:r>
        <w:rPr>
          <w:rFonts w:hint="eastAsia" w:ascii="Times New Roman" w:hAnsi="Times New Roman" w:eastAsia="楷体_GB2312"/>
          <w:b/>
          <w:bCs/>
          <w:color w:val="000000"/>
          <w:sz w:val="32"/>
          <w:szCs w:val="32"/>
        </w:rPr>
        <w:t>年，</w:t>
      </w:r>
      <w:r>
        <w:rPr>
          <w:rFonts w:hint="eastAsia" w:ascii="Times New Roman" w:hAnsi="Times New Roman" w:eastAsia="仿宋_GB2312"/>
          <w:color w:val="000000"/>
          <w:sz w:val="32"/>
          <w:szCs w:val="32"/>
        </w:rPr>
        <w:t>自然保护地体系全面建成，规模和管理达到全国先进水平。秦岭生态系统稳定性显著增强，生态系统质量明显改善，自然生态系统基本实现良性循环，生态安全屏障作用充分发挥。绿色生产生活方式全面形成，优质生态产品供给能力基本满足人民群众对美好生活的需求，生态文明建设达到较高水平，秦岭生态环境更加宁静、和谐、美丽。</w:t>
      </w:r>
    </w:p>
    <w:p>
      <w:pPr>
        <w:spacing w:beforeLines="50" w:afterLines="50" w:line="606" w:lineRule="exact"/>
        <w:jc w:val="center"/>
        <w:rPr>
          <w:rFonts w:ascii="Times New Roman" w:hAnsi="Times New Roman" w:eastAsia="楷体_GB2312"/>
          <w:b/>
          <w:bCs/>
          <w:color w:val="000000"/>
          <w:sz w:val="28"/>
          <w:szCs w:val="28"/>
        </w:rPr>
      </w:pPr>
      <w:r>
        <w:rPr>
          <w:rFonts w:hint="eastAsia" w:ascii="Times New Roman" w:hAnsi="Times New Roman" w:eastAsia="楷体_GB2312"/>
          <w:b/>
          <w:bCs/>
          <w:color w:val="000000"/>
          <w:sz w:val="28"/>
          <w:szCs w:val="28"/>
        </w:rPr>
        <w:t>专栏</w:t>
      </w:r>
      <w:r>
        <w:rPr>
          <w:rFonts w:ascii="Times New Roman" w:hAnsi="Times New Roman" w:eastAsia="楷体_GB2312"/>
          <w:b/>
          <w:bCs/>
          <w:color w:val="000000"/>
          <w:sz w:val="28"/>
          <w:szCs w:val="28"/>
        </w:rPr>
        <w:t>3</w:t>
      </w:r>
      <w:r>
        <w:rPr>
          <w:rFonts w:hint="eastAsia" w:ascii="Times New Roman" w:hAnsi="Times New Roman" w:eastAsia="楷体_GB2312"/>
          <w:b/>
          <w:bCs/>
          <w:color w:val="000000"/>
          <w:sz w:val="28"/>
          <w:szCs w:val="28"/>
        </w:rPr>
        <w:t>　秦岭生态环境保护主要指标</w:t>
      </w:r>
    </w:p>
    <w:tbl>
      <w:tblPr>
        <w:tblStyle w:val="7"/>
        <w:tblW w:w="9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8"/>
        <w:gridCol w:w="3401"/>
        <w:gridCol w:w="1032"/>
        <w:gridCol w:w="1021"/>
        <w:gridCol w:w="975"/>
        <w:gridCol w:w="966"/>
        <w:gridCol w:w="13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jc w:val="center"/>
        </w:trPr>
        <w:tc>
          <w:tcPr>
            <w:tcW w:w="3889" w:type="dxa"/>
            <w:gridSpan w:val="2"/>
            <w:vAlign w:val="center"/>
          </w:tcPr>
          <w:p>
            <w:pPr>
              <w:adjustRightInd w:val="0"/>
              <w:snapToGrid w:val="0"/>
              <w:spacing w:line="240" w:lineRule="exact"/>
              <w:jc w:val="center"/>
              <w:rPr>
                <w:rFonts w:ascii="Times New Roman" w:hAnsi="Times New Roman" w:eastAsia="仿宋_GB2312"/>
                <w:b/>
                <w:bCs/>
                <w:color w:val="000000"/>
                <w:kern w:val="44"/>
                <w:sz w:val="24"/>
              </w:rPr>
            </w:pPr>
            <w:r>
              <w:rPr>
                <w:rFonts w:hint="eastAsia" w:ascii="Times New Roman" w:hAnsi="Times New Roman" w:eastAsia="仿宋_GB2312"/>
                <w:b/>
                <w:bCs/>
                <w:color w:val="000000"/>
                <w:kern w:val="44"/>
                <w:sz w:val="24"/>
              </w:rPr>
              <w:t>指标</w:t>
            </w:r>
          </w:p>
        </w:tc>
        <w:tc>
          <w:tcPr>
            <w:tcW w:w="1032" w:type="dxa"/>
            <w:vAlign w:val="center"/>
          </w:tcPr>
          <w:p>
            <w:pPr>
              <w:adjustRightInd w:val="0"/>
              <w:snapToGrid w:val="0"/>
              <w:spacing w:line="240" w:lineRule="exact"/>
              <w:jc w:val="center"/>
              <w:rPr>
                <w:rFonts w:ascii="Times New Roman" w:hAnsi="Times New Roman" w:eastAsia="仿宋_GB2312"/>
                <w:b/>
                <w:bCs/>
                <w:color w:val="000000"/>
                <w:kern w:val="44"/>
                <w:sz w:val="24"/>
              </w:rPr>
            </w:pPr>
            <w:r>
              <w:rPr>
                <w:rFonts w:ascii="Times New Roman" w:hAnsi="Times New Roman" w:eastAsia="仿宋_GB2312"/>
                <w:b/>
                <w:bCs/>
                <w:color w:val="000000"/>
                <w:kern w:val="44"/>
                <w:sz w:val="24"/>
              </w:rPr>
              <w:t>2019</w:t>
            </w:r>
            <w:r>
              <w:rPr>
                <w:rFonts w:hint="eastAsia" w:ascii="Times New Roman" w:hAnsi="Times New Roman" w:eastAsia="仿宋_GB2312"/>
                <w:b/>
                <w:bCs/>
                <w:color w:val="000000"/>
                <w:kern w:val="44"/>
                <w:sz w:val="24"/>
              </w:rPr>
              <w:t>年</w:t>
            </w:r>
          </w:p>
        </w:tc>
        <w:tc>
          <w:tcPr>
            <w:tcW w:w="1021" w:type="dxa"/>
            <w:vAlign w:val="center"/>
          </w:tcPr>
          <w:p>
            <w:pPr>
              <w:adjustRightInd w:val="0"/>
              <w:snapToGrid w:val="0"/>
              <w:spacing w:line="240" w:lineRule="exact"/>
              <w:jc w:val="center"/>
              <w:rPr>
                <w:rFonts w:ascii="Times New Roman" w:hAnsi="Times New Roman" w:eastAsia="仿宋_GB2312"/>
                <w:b/>
                <w:bCs/>
                <w:color w:val="000000"/>
                <w:kern w:val="44"/>
                <w:sz w:val="24"/>
              </w:rPr>
            </w:pPr>
            <w:r>
              <w:rPr>
                <w:rFonts w:ascii="Times New Roman" w:hAnsi="Times New Roman" w:eastAsia="仿宋_GB2312"/>
                <w:b/>
                <w:bCs/>
                <w:color w:val="000000"/>
                <w:kern w:val="44"/>
                <w:sz w:val="24"/>
              </w:rPr>
              <w:t>2025</w:t>
            </w:r>
            <w:r>
              <w:rPr>
                <w:rFonts w:hint="eastAsia" w:ascii="Times New Roman" w:hAnsi="Times New Roman" w:eastAsia="仿宋_GB2312"/>
                <w:b/>
                <w:bCs/>
                <w:color w:val="000000"/>
                <w:kern w:val="44"/>
                <w:sz w:val="24"/>
              </w:rPr>
              <w:t>年</w:t>
            </w:r>
          </w:p>
        </w:tc>
        <w:tc>
          <w:tcPr>
            <w:tcW w:w="975" w:type="dxa"/>
            <w:vAlign w:val="center"/>
          </w:tcPr>
          <w:p>
            <w:pPr>
              <w:adjustRightInd w:val="0"/>
              <w:snapToGrid w:val="0"/>
              <w:spacing w:line="240" w:lineRule="exact"/>
              <w:jc w:val="center"/>
              <w:rPr>
                <w:rFonts w:ascii="Times New Roman" w:hAnsi="Times New Roman" w:eastAsia="仿宋_GB2312"/>
                <w:b/>
                <w:bCs/>
                <w:color w:val="000000"/>
                <w:kern w:val="44"/>
                <w:sz w:val="24"/>
              </w:rPr>
            </w:pPr>
            <w:r>
              <w:rPr>
                <w:rFonts w:hint="eastAsia" w:ascii="Times New Roman" w:hAnsi="Times New Roman" w:eastAsia="仿宋_GB2312"/>
                <w:b/>
                <w:bCs/>
                <w:color w:val="000000"/>
                <w:kern w:val="44"/>
                <w:sz w:val="24"/>
              </w:rPr>
              <w:t>市目标</w:t>
            </w:r>
          </w:p>
        </w:tc>
        <w:tc>
          <w:tcPr>
            <w:tcW w:w="966" w:type="dxa"/>
            <w:vAlign w:val="center"/>
          </w:tcPr>
          <w:p>
            <w:pPr>
              <w:adjustRightInd w:val="0"/>
              <w:snapToGrid w:val="0"/>
              <w:spacing w:line="240" w:lineRule="exact"/>
              <w:jc w:val="center"/>
              <w:rPr>
                <w:rFonts w:ascii="Times New Roman" w:hAnsi="Times New Roman" w:eastAsia="仿宋_GB2312"/>
                <w:b/>
                <w:bCs/>
                <w:color w:val="000000"/>
                <w:kern w:val="44"/>
                <w:sz w:val="24"/>
              </w:rPr>
            </w:pPr>
            <w:r>
              <w:rPr>
                <w:rFonts w:hint="eastAsia" w:ascii="Times New Roman" w:hAnsi="Times New Roman" w:eastAsia="仿宋_GB2312"/>
                <w:b/>
                <w:bCs/>
                <w:color w:val="000000"/>
                <w:kern w:val="44"/>
                <w:sz w:val="24"/>
              </w:rPr>
              <w:t>省目标</w:t>
            </w:r>
          </w:p>
        </w:tc>
        <w:tc>
          <w:tcPr>
            <w:tcW w:w="1337" w:type="dxa"/>
            <w:vAlign w:val="center"/>
          </w:tcPr>
          <w:p>
            <w:pPr>
              <w:adjustRightInd w:val="0"/>
              <w:snapToGrid w:val="0"/>
              <w:spacing w:line="240" w:lineRule="exact"/>
              <w:jc w:val="center"/>
              <w:rPr>
                <w:rFonts w:ascii="Times New Roman" w:hAnsi="Times New Roman" w:eastAsia="仿宋_GB2312"/>
                <w:b/>
                <w:bCs/>
                <w:color w:val="000000"/>
                <w:kern w:val="44"/>
                <w:sz w:val="24"/>
              </w:rPr>
            </w:pPr>
            <w:r>
              <w:rPr>
                <w:rFonts w:hint="eastAsia" w:ascii="Times New Roman" w:hAnsi="Times New Roman" w:eastAsia="仿宋_GB2312"/>
                <w:b/>
                <w:bCs/>
                <w:color w:val="000000"/>
                <w:kern w:val="44"/>
                <w:sz w:val="24"/>
              </w:rPr>
              <w:t>属性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6917" w:type="dxa"/>
            <w:gridSpan w:val="5"/>
            <w:vAlign w:val="center"/>
          </w:tcPr>
          <w:p>
            <w:pPr>
              <w:adjustRightInd w:val="0"/>
              <w:snapToGrid w:val="0"/>
              <w:spacing w:line="240" w:lineRule="exact"/>
              <w:jc w:val="center"/>
              <w:rPr>
                <w:rFonts w:ascii="Times New Roman" w:hAnsi="Times New Roman" w:eastAsia="仿宋_GB2312"/>
                <w:b/>
                <w:bCs/>
                <w:color w:val="000000"/>
                <w:kern w:val="44"/>
                <w:sz w:val="24"/>
              </w:rPr>
            </w:pPr>
            <w:r>
              <w:rPr>
                <w:rFonts w:hint="eastAsia" w:ascii="Times New Roman" w:hAnsi="Times New Roman" w:eastAsia="仿宋_GB2312"/>
                <w:b/>
                <w:bCs/>
                <w:color w:val="000000"/>
                <w:kern w:val="44"/>
                <w:sz w:val="24"/>
              </w:rPr>
              <w:t>生态保护</w:t>
            </w:r>
          </w:p>
        </w:tc>
        <w:tc>
          <w:tcPr>
            <w:tcW w:w="966" w:type="dxa"/>
            <w:vAlign w:val="center"/>
          </w:tcPr>
          <w:p>
            <w:pPr>
              <w:adjustRightInd w:val="0"/>
              <w:snapToGrid w:val="0"/>
              <w:spacing w:line="240" w:lineRule="exact"/>
              <w:jc w:val="center"/>
              <w:rPr>
                <w:rFonts w:ascii="Times New Roman" w:hAnsi="Times New Roman" w:eastAsia="仿宋_GB2312"/>
                <w:b/>
                <w:bCs/>
                <w:color w:val="000000"/>
                <w:kern w:val="44"/>
                <w:sz w:val="24"/>
              </w:rPr>
            </w:pPr>
          </w:p>
        </w:tc>
        <w:tc>
          <w:tcPr>
            <w:tcW w:w="1337" w:type="dxa"/>
            <w:vAlign w:val="center"/>
          </w:tcPr>
          <w:p>
            <w:pPr>
              <w:adjustRightInd w:val="0"/>
              <w:snapToGrid w:val="0"/>
              <w:spacing w:line="240" w:lineRule="exact"/>
              <w:jc w:val="center"/>
              <w:rPr>
                <w:rFonts w:ascii="Times New Roman" w:hAnsi="Times New Roman" w:eastAsia="仿宋_GB2312"/>
                <w:b/>
                <w:bCs/>
                <w:color w:val="000000"/>
                <w:kern w:val="44"/>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jc w:val="center"/>
        </w:trPr>
        <w:tc>
          <w:tcPr>
            <w:tcW w:w="488"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１</w:t>
            </w:r>
          </w:p>
        </w:tc>
        <w:tc>
          <w:tcPr>
            <w:tcW w:w="3401" w:type="dxa"/>
            <w:vAlign w:val="center"/>
          </w:tcPr>
          <w:p>
            <w:pPr>
              <w:adjustRightInd w:val="0"/>
              <w:snapToGrid w:val="0"/>
              <w:spacing w:line="240" w:lineRule="exact"/>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森林覆盖率（</w:t>
            </w:r>
            <w:r>
              <w:rPr>
                <w:rFonts w:ascii="Times New Roman" w:hAnsi="Times New Roman" w:eastAsia="仿宋_GB2312"/>
                <w:bCs/>
                <w:color w:val="000000"/>
                <w:kern w:val="44"/>
                <w:sz w:val="24"/>
              </w:rPr>
              <w:t>%</w:t>
            </w:r>
            <w:r>
              <w:rPr>
                <w:rFonts w:hint="eastAsia" w:ascii="Times New Roman" w:hAnsi="Times New Roman" w:eastAsia="仿宋_GB2312"/>
                <w:bCs/>
                <w:color w:val="000000"/>
                <w:kern w:val="44"/>
                <w:sz w:val="24"/>
              </w:rPr>
              <w:t>）</w:t>
            </w:r>
          </w:p>
        </w:tc>
        <w:tc>
          <w:tcPr>
            <w:tcW w:w="1032"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62.7</w:t>
            </w:r>
          </w:p>
        </w:tc>
        <w:tc>
          <w:tcPr>
            <w:tcW w:w="1021"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w:t>
            </w:r>
            <w:r>
              <w:rPr>
                <w:rFonts w:ascii="Times New Roman" w:hAnsi="Times New Roman" w:eastAsia="仿宋_GB2312"/>
                <w:bCs/>
                <w:color w:val="000000"/>
                <w:kern w:val="44"/>
                <w:sz w:val="24"/>
              </w:rPr>
              <w:t>70</w:t>
            </w:r>
          </w:p>
        </w:tc>
        <w:tc>
          <w:tcPr>
            <w:tcW w:w="975"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w:t>
            </w:r>
            <w:r>
              <w:rPr>
                <w:rFonts w:ascii="Times New Roman" w:hAnsi="Times New Roman" w:eastAsia="仿宋_GB2312"/>
                <w:bCs/>
                <w:color w:val="000000"/>
                <w:kern w:val="44"/>
                <w:sz w:val="24"/>
              </w:rPr>
              <w:t>70</w:t>
            </w:r>
          </w:p>
        </w:tc>
        <w:tc>
          <w:tcPr>
            <w:tcW w:w="966"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w:t>
            </w:r>
            <w:r>
              <w:rPr>
                <w:rFonts w:ascii="Times New Roman" w:hAnsi="Times New Roman" w:eastAsia="仿宋_GB2312"/>
                <w:bCs/>
                <w:color w:val="000000"/>
                <w:kern w:val="44"/>
                <w:sz w:val="24"/>
              </w:rPr>
              <w:t>70</w:t>
            </w:r>
          </w:p>
        </w:tc>
        <w:tc>
          <w:tcPr>
            <w:tcW w:w="1337"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约束性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88"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２</w:t>
            </w:r>
          </w:p>
        </w:tc>
        <w:tc>
          <w:tcPr>
            <w:tcW w:w="3401" w:type="dxa"/>
            <w:vAlign w:val="center"/>
          </w:tcPr>
          <w:p>
            <w:pPr>
              <w:adjustRightInd w:val="0"/>
              <w:snapToGrid w:val="0"/>
              <w:spacing w:line="240" w:lineRule="exact"/>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森林保护面积占比（</w:t>
            </w:r>
            <w:r>
              <w:rPr>
                <w:rFonts w:ascii="Times New Roman" w:hAnsi="Times New Roman" w:eastAsia="仿宋_GB2312"/>
                <w:bCs/>
                <w:color w:val="000000"/>
                <w:kern w:val="44"/>
                <w:sz w:val="24"/>
              </w:rPr>
              <w:t>%</w:t>
            </w:r>
            <w:r>
              <w:rPr>
                <w:rFonts w:hint="eastAsia" w:ascii="Times New Roman" w:hAnsi="Times New Roman" w:eastAsia="仿宋_GB2312"/>
                <w:bCs/>
                <w:color w:val="000000"/>
                <w:kern w:val="44"/>
                <w:sz w:val="24"/>
              </w:rPr>
              <w:t>）</w:t>
            </w:r>
          </w:p>
        </w:tc>
        <w:tc>
          <w:tcPr>
            <w:tcW w:w="1032"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90</w:t>
            </w:r>
          </w:p>
        </w:tc>
        <w:tc>
          <w:tcPr>
            <w:tcW w:w="1021"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w:t>
            </w:r>
            <w:r>
              <w:rPr>
                <w:rFonts w:ascii="Times New Roman" w:hAnsi="Times New Roman" w:eastAsia="仿宋_GB2312"/>
                <w:bCs/>
                <w:color w:val="000000"/>
                <w:kern w:val="44"/>
                <w:sz w:val="24"/>
              </w:rPr>
              <w:t>95</w:t>
            </w:r>
          </w:p>
        </w:tc>
        <w:tc>
          <w:tcPr>
            <w:tcW w:w="975"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w:t>
            </w:r>
            <w:r>
              <w:rPr>
                <w:rFonts w:ascii="Times New Roman" w:hAnsi="Times New Roman" w:eastAsia="仿宋_GB2312"/>
                <w:bCs/>
                <w:color w:val="000000"/>
                <w:kern w:val="44"/>
                <w:sz w:val="24"/>
              </w:rPr>
              <w:t>95</w:t>
            </w:r>
          </w:p>
        </w:tc>
        <w:tc>
          <w:tcPr>
            <w:tcW w:w="966"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w:t>
            </w:r>
            <w:r>
              <w:rPr>
                <w:rFonts w:ascii="Times New Roman" w:hAnsi="Times New Roman" w:eastAsia="仿宋_GB2312"/>
                <w:bCs/>
                <w:color w:val="000000"/>
                <w:kern w:val="44"/>
                <w:sz w:val="24"/>
              </w:rPr>
              <w:t>95</w:t>
            </w:r>
          </w:p>
        </w:tc>
        <w:tc>
          <w:tcPr>
            <w:tcW w:w="1337"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约束性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88"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3</w:t>
            </w:r>
          </w:p>
        </w:tc>
        <w:tc>
          <w:tcPr>
            <w:tcW w:w="3401" w:type="dxa"/>
            <w:vAlign w:val="center"/>
          </w:tcPr>
          <w:p>
            <w:pPr>
              <w:adjustRightInd w:val="0"/>
              <w:snapToGrid w:val="0"/>
              <w:spacing w:line="240" w:lineRule="exact"/>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湿地保护率（</w:t>
            </w:r>
            <w:r>
              <w:rPr>
                <w:rFonts w:ascii="Times New Roman" w:hAnsi="Times New Roman" w:eastAsia="仿宋_GB2312"/>
                <w:bCs/>
                <w:color w:val="000000"/>
                <w:kern w:val="44"/>
                <w:sz w:val="24"/>
              </w:rPr>
              <w:t>%</w:t>
            </w:r>
            <w:r>
              <w:rPr>
                <w:rFonts w:hint="eastAsia" w:ascii="Times New Roman" w:hAnsi="Times New Roman" w:eastAsia="仿宋_GB2312"/>
                <w:bCs/>
                <w:color w:val="000000"/>
                <w:kern w:val="44"/>
                <w:sz w:val="24"/>
              </w:rPr>
              <w:t>）</w:t>
            </w:r>
          </w:p>
        </w:tc>
        <w:tc>
          <w:tcPr>
            <w:tcW w:w="1032"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26.8</w:t>
            </w:r>
          </w:p>
        </w:tc>
        <w:tc>
          <w:tcPr>
            <w:tcW w:w="1021"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≥32</w:t>
            </w:r>
          </w:p>
        </w:tc>
        <w:tc>
          <w:tcPr>
            <w:tcW w:w="975"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≥32</w:t>
            </w:r>
          </w:p>
        </w:tc>
        <w:tc>
          <w:tcPr>
            <w:tcW w:w="966"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≥30</w:t>
            </w:r>
          </w:p>
        </w:tc>
        <w:tc>
          <w:tcPr>
            <w:tcW w:w="1337"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jc w:val="center"/>
        </w:trPr>
        <w:tc>
          <w:tcPr>
            <w:tcW w:w="488"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4</w:t>
            </w:r>
          </w:p>
        </w:tc>
        <w:tc>
          <w:tcPr>
            <w:tcW w:w="3401" w:type="dxa"/>
            <w:vAlign w:val="center"/>
          </w:tcPr>
          <w:p>
            <w:pPr>
              <w:adjustRightInd w:val="0"/>
              <w:snapToGrid w:val="0"/>
              <w:spacing w:line="240" w:lineRule="exact"/>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野生动物重要栖息地面积保护率（</w:t>
            </w:r>
            <w:r>
              <w:rPr>
                <w:rFonts w:ascii="Times New Roman" w:hAnsi="Times New Roman" w:eastAsia="仿宋_GB2312"/>
                <w:bCs/>
                <w:color w:val="000000"/>
                <w:kern w:val="44"/>
                <w:sz w:val="24"/>
              </w:rPr>
              <w:t>%</w:t>
            </w:r>
            <w:r>
              <w:rPr>
                <w:rFonts w:hint="eastAsia" w:ascii="Times New Roman" w:hAnsi="Times New Roman" w:eastAsia="仿宋_GB2312"/>
                <w:bCs/>
                <w:color w:val="000000"/>
                <w:kern w:val="44"/>
                <w:sz w:val="24"/>
              </w:rPr>
              <w:t>）</w:t>
            </w:r>
          </w:p>
        </w:tc>
        <w:tc>
          <w:tcPr>
            <w:tcW w:w="1032"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62</w:t>
            </w:r>
          </w:p>
        </w:tc>
        <w:tc>
          <w:tcPr>
            <w:tcW w:w="1021"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≥68</w:t>
            </w:r>
          </w:p>
        </w:tc>
        <w:tc>
          <w:tcPr>
            <w:tcW w:w="975"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≥68</w:t>
            </w:r>
          </w:p>
        </w:tc>
        <w:tc>
          <w:tcPr>
            <w:tcW w:w="966"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≥65</w:t>
            </w:r>
          </w:p>
        </w:tc>
        <w:tc>
          <w:tcPr>
            <w:tcW w:w="1337"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5</w:t>
            </w:r>
          </w:p>
        </w:tc>
        <w:tc>
          <w:tcPr>
            <w:tcW w:w="3401" w:type="dxa"/>
            <w:vAlign w:val="center"/>
          </w:tcPr>
          <w:p>
            <w:pPr>
              <w:adjustRightInd w:val="0"/>
              <w:snapToGrid w:val="0"/>
              <w:spacing w:line="240" w:lineRule="exact"/>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森林火灾受害率（</w:t>
            </w:r>
            <w:r>
              <w:rPr>
                <w:rFonts w:ascii="Times New Roman" w:hAnsi="Times New Roman" w:eastAsia="仿宋_GB2312"/>
                <w:bCs/>
                <w:color w:val="000000"/>
                <w:kern w:val="44"/>
                <w:sz w:val="24"/>
              </w:rPr>
              <w:t>‰</w:t>
            </w:r>
            <w:r>
              <w:rPr>
                <w:rFonts w:hint="eastAsia" w:ascii="Times New Roman" w:hAnsi="Times New Roman" w:eastAsia="仿宋_GB2312"/>
                <w:bCs/>
                <w:color w:val="000000"/>
                <w:kern w:val="44"/>
                <w:sz w:val="24"/>
              </w:rPr>
              <w:t>）</w:t>
            </w:r>
          </w:p>
        </w:tc>
        <w:tc>
          <w:tcPr>
            <w:tcW w:w="1032"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0.3</w:t>
            </w:r>
          </w:p>
        </w:tc>
        <w:tc>
          <w:tcPr>
            <w:tcW w:w="1021"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
                <w:color w:val="000000"/>
                <w:kern w:val="44"/>
                <w:sz w:val="24"/>
              </w:rPr>
              <w:t>≤0.5</w:t>
            </w:r>
          </w:p>
        </w:tc>
        <w:tc>
          <w:tcPr>
            <w:tcW w:w="975"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
                <w:color w:val="000000"/>
                <w:kern w:val="44"/>
                <w:sz w:val="24"/>
              </w:rPr>
              <w:t>≤0.5</w:t>
            </w:r>
          </w:p>
        </w:tc>
        <w:tc>
          <w:tcPr>
            <w:tcW w:w="966"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≤0.9</w:t>
            </w:r>
          </w:p>
        </w:tc>
        <w:tc>
          <w:tcPr>
            <w:tcW w:w="1337"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约束性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dxa"/>
            <w:vAlign w:val="center"/>
          </w:tcPr>
          <w:p>
            <w:pPr>
              <w:adjustRightInd w:val="0"/>
              <w:snapToGrid w:val="0"/>
              <w:spacing w:line="240" w:lineRule="exact"/>
              <w:jc w:val="center"/>
              <w:rPr>
                <w:rFonts w:ascii="Times New Roman" w:hAnsi="Times New Roman" w:eastAsia="仿宋_GB2312"/>
                <w:b/>
                <w:bCs/>
                <w:color w:val="000000"/>
                <w:kern w:val="44"/>
                <w:sz w:val="24"/>
              </w:rPr>
            </w:pPr>
            <w:r>
              <w:rPr>
                <w:rFonts w:ascii="Times New Roman" w:hAnsi="Times New Roman" w:eastAsia="仿宋_GB2312"/>
                <w:bCs/>
                <w:color w:val="000000"/>
                <w:kern w:val="44"/>
                <w:sz w:val="24"/>
              </w:rPr>
              <w:t>6</w:t>
            </w:r>
          </w:p>
        </w:tc>
        <w:tc>
          <w:tcPr>
            <w:tcW w:w="3401" w:type="dxa"/>
            <w:vAlign w:val="center"/>
          </w:tcPr>
          <w:p>
            <w:pPr>
              <w:adjustRightInd w:val="0"/>
              <w:snapToGrid w:val="0"/>
              <w:spacing w:line="240" w:lineRule="exact"/>
              <w:rPr>
                <w:rFonts w:ascii="Times New Roman" w:hAnsi="Times New Roman" w:eastAsia="仿宋_GB2312"/>
                <w:b/>
                <w:bCs/>
                <w:color w:val="000000"/>
                <w:kern w:val="44"/>
                <w:sz w:val="24"/>
              </w:rPr>
            </w:pPr>
            <w:r>
              <w:rPr>
                <w:rFonts w:hint="eastAsia" w:ascii="Times New Roman" w:hAnsi="Times New Roman" w:eastAsia="仿宋_GB2312"/>
                <w:bCs/>
                <w:color w:val="000000"/>
                <w:kern w:val="44"/>
                <w:sz w:val="24"/>
              </w:rPr>
              <w:t>林业有害生物成灾率（</w:t>
            </w:r>
            <w:r>
              <w:rPr>
                <w:rFonts w:ascii="Times New Roman" w:hAnsi="Times New Roman" w:eastAsia="仿宋_GB2312"/>
                <w:bCs/>
                <w:color w:val="000000"/>
                <w:kern w:val="44"/>
                <w:sz w:val="24"/>
              </w:rPr>
              <w:t>‰</w:t>
            </w:r>
            <w:r>
              <w:rPr>
                <w:rFonts w:hint="eastAsia" w:ascii="Times New Roman" w:hAnsi="Times New Roman" w:eastAsia="仿宋_GB2312"/>
                <w:bCs/>
                <w:color w:val="000000"/>
                <w:kern w:val="44"/>
                <w:sz w:val="24"/>
              </w:rPr>
              <w:t>）</w:t>
            </w:r>
          </w:p>
        </w:tc>
        <w:tc>
          <w:tcPr>
            <w:tcW w:w="1032" w:type="dxa"/>
            <w:vAlign w:val="center"/>
          </w:tcPr>
          <w:p>
            <w:pPr>
              <w:adjustRightInd w:val="0"/>
              <w:snapToGrid w:val="0"/>
              <w:spacing w:line="240" w:lineRule="exact"/>
              <w:jc w:val="center"/>
              <w:rPr>
                <w:rFonts w:ascii="Times New Roman" w:hAnsi="Times New Roman" w:eastAsia="仿宋_GB2312"/>
                <w:b/>
                <w:bCs/>
                <w:color w:val="000000"/>
                <w:kern w:val="44"/>
                <w:sz w:val="24"/>
              </w:rPr>
            </w:pPr>
            <w:r>
              <w:rPr>
                <w:rFonts w:ascii="Times New Roman" w:hAnsi="Times New Roman" w:eastAsia="仿宋_GB2312"/>
                <w:bCs/>
                <w:color w:val="000000"/>
                <w:kern w:val="44"/>
                <w:sz w:val="24"/>
              </w:rPr>
              <w:t>4.6</w:t>
            </w:r>
          </w:p>
        </w:tc>
        <w:tc>
          <w:tcPr>
            <w:tcW w:w="1021" w:type="dxa"/>
            <w:vAlign w:val="center"/>
          </w:tcPr>
          <w:p>
            <w:pPr>
              <w:adjustRightInd w:val="0"/>
              <w:snapToGrid w:val="0"/>
              <w:spacing w:line="240" w:lineRule="exact"/>
              <w:jc w:val="center"/>
              <w:rPr>
                <w:rFonts w:ascii="Times New Roman" w:hAnsi="Times New Roman" w:eastAsia="仿宋_GB2312"/>
                <w:b/>
                <w:bCs/>
                <w:color w:val="000000"/>
                <w:kern w:val="44"/>
                <w:sz w:val="24"/>
              </w:rPr>
            </w:pPr>
            <w:r>
              <w:rPr>
                <w:rFonts w:ascii="Times New Roman" w:hAnsi="Times New Roman" w:eastAsia="仿宋_GB2312"/>
                <w:bCs/>
                <w:color w:val="000000"/>
                <w:kern w:val="44"/>
                <w:sz w:val="24"/>
              </w:rPr>
              <w:t>≤4.5</w:t>
            </w:r>
          </w:p>
        </w:tc>
        <w:tc>
          <w:tcPr>
            <w:tcW w:w="975" w:type="dxa"/>
            <w:vAlign w:val="center"/>
          </w:tcPr>
          <w:p>
            <w:pPr>
              <w:adjustRightInd w:val="0"/>
              <w:snapToGrid w:val="0"/>
              <w:spacing w:line="240" w:lineRule="exact"/>
              <w:jc w:val="center"/>
              <w:rPr>
                <w:rFonts w:ascii="Times New Roman" w:hAnsi="Times New Roman" w:eastAsia="仿宋_GB2312"/>
                <w:b/>
                <w:bCs/>
                <w:color w:val="000000"/>
                <w:kern w:val="44"/>
                <w:sz w:val="24"/>
              </w:rPr>
            </w:pPr>
            <w:r>
              <w:rPr>
                <w:rFonts w:ascii="Times New Roman" w:hAnsi="Times New Roman" w:eastAsia="仿宋_GB2312"/>
                <w:bCs/>
                <w:color w:val="000000"/>
                <w:kern w:val="44"/>
                <w:sz w:val="24"/>
              </w:rPr>
              <w:t>≤4.5</w:t>
            </w:r>
          </w:p>
        </w:tc>
        <w:tc>
          <w:tcPr>
            <w:tcW w:w="966" w:type="dxa"/>
            <w:vAlign w:val="center"/>
          </w:tcPr>
          <w:p>
            <w:pPr>
              <w:adjustRightInd w:val="0"/>
              <w:snapToGrid w:val="0"/>
              <w:spacing w:line="240" w:lineRule="exact"/>
              <w:jc w:val="center"/>
              <w:rPr>
                <w:rFonts w:ascii="Times New Roman" w:hAnsi="Times New Roman" w:eastAsia="仿宋_GB2312"/>
                <w:b/>
                <w:bCs/>
                <w:color w:val="000000"/>
                <w:kern w:val="44"/>
                <w:sz w:val="24"/>
              </w:rPr>
            </w:pPr>
            <w:r>
              <w:rPr>
                <w:rFonts w:ascii="Times New Roman" w:hAnsi="Times New Roman" w:eastAsia="仿宋_GB2312"/>
                <w:bCs/>
                <w:color w:val="000000"/>
                <w:kern w:val="44"/>
                <w:sz w:val="24"/>
              </w:rPr>
              <w:t>≤4.5</w:t>
            </w:r>
          </w:p>
        </w:tc>
        <w:tc>
          <w:tcPr>
            <w:tcW w:w="1337"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约束性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5" w:hRule="atLeast"/>
          <w:jc w:val="center"/>
        </w:trPr>
        <w:tc>
          <w:tcPr>
            <w:tcW w:w="6917" w:type="dxa"/>
            <w:gridSpan w:val="5"/>
            <w:vAlign w:val="center"/>
          </w:tcPr>
          <w:p>
            <w:pPr>
              <w:adjustRightInd w:val="0"/>
              <w:snapToGrid w:val="0"/>
              <w:spacing w:line="240" w:lineRule="exact"/>
              <w:jc w:val="center"/>
              <w:rPr>
                <w:rFonts w:ascii="Times New Roman" w:hAnsi="Times New Roman" w:eastAsia="仿宋_GB2312"/>
                <w:b/>
                <w:bCs/>
                <w:color w:val="000000"/>
                <w:kern w:val="44"/>
                <w:sz w:val="24"/>
              </w:rPr>
            </w:pPr>
            <w:r>
              <w:rPr>
                <w:rFonts w:hint="eastAsia" w:ascii="Times New Roman" w:hAnsi="Times New Roman" w:eastAsia="仿宋_GB2312"/>
                <w:b/>
                <w:bCs/>
                <w:color w:val="000000"/>
                <w:kern w:val="44"/>
                <w:sz w:val="24"/>
              </w:rPr>
              <w:t>修复治理</w:t>
            </w:r>
          </w:p>
        </w:tc>
        <w:tc>
          <w:tcPr>
            <w:tcW w:w="966" w:type="dxa"/>
            <w:vAlign w:val="center"/>
          </w:tcPr>
          <w:p>
            <w:pPr>
              <w:adjustRightInd w:val="0"/>
              <w:snapToGrid w:val="0"/>
              <w:spacing w:line="240" w:lineRule="exact"/>
              <w:jc w:val="center"/>
              <w:rPr>
                <w:rFonts w:ascii="Times New Roman" w:hAnsi="Times New Roman" w:eastAsia="仿宋_GB2312"/>
                <w:b/>
                <w:bCs/>
                <w:color w:val="000000"/>
                <w:kern w:val="44"/>
                <w:sz w:val="24"/>
              </w:rPr>
            </w:pPr>
          </w:p>
        </w:tc>
        <w:tc>
          <w:tcPr>
            <w:tcW w:w="1337" w:type="dxa"/>
            <w:vAlign w:val="center"/>
          </w:tcPr>
          <w:p>
            <w:pPr>
              <w:adjustRightInd w:val="0"/>
              <w:snapToGrid w:val="0"/>
              <w:spacing w:line="240" w:lineRule="exact"/>
              <w:jc w:val="center"/>
              <w:rPr>
                <w:rFonts w:ascii="Times New Roman" w:hAnsi="Times New Roman" w:eastAsia="仿宋_GB2312"/>
                <w:b/>
                <w:bCs/>
                <w:color w:val="000000"/>
                <w:kern w:val="44"/>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5" w:hRule="atLeast"/>
          <w:jc w:val="center"/>
        </w:trPr>
        <w:tc>
          <w:tcPr>
            <w:tcW w:w="488"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7</w:t>
            </w:r>
          </w:p>
        </w:tc>
        <w:tc>
          <w:tcPr>
            <w:tcW w:w="3401" w:type="dxa"/>
            <w:vAlign w:val="center"/>
          </w:tcPr>
          <w:p>
            <w:pPr>
              <w:adjustRightInd w:val="0"/>
              <w:snapToGrid w:val="0"/>
              <w:spacing w:line="240" w:lineRule="exact"/>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水功能区达到或好于</w:t>
            </w:r>
            <w:r>
              <w:rPr>
                <w:rFonts w:ascii="Times New Roman" w:hAnsi="Times New Roman"/>
                <w:bCs/>
                <w:color w:val="000000"/>
                <w:kern w:val="44"/>
                <w:sz w:val="24"/>
              </w:rPr>
              <w:t>Ⅱ</w:t>
            </w:r>
            <w:r>
              <w:rPr>
                <w:rFonts w:hint="eastAsia" w:ascii="Times New Roman" w:hAnsi="Times New Roman" w:eastAsia="仿宋_GB2312"/>
                <w:bCs/>
                <w:color w:val="000000"/>
                <w:kern w:val="44"/>
                <w:sz w:val="24"/>
              </w:rPr>
              <w:t>类水体比例（</w:t>
            </w:r>
            <w:r>
              <w:rPr>
                <w:rFonts w:ascii="Times New Roman" w:hAnsi="Times New Roman" w:eastAsia="仿宋_GB2312"/>
                <w:bCs/>
                <w:color w:val="000000"/>
                <w:kern w:val="44"/>
                <w:sz w:val="24"/>
              </w:rPr>
              <w:t>%</w:t>
            </w:r>
            <w:r>
              <w:rPr>
                <w:rFonts w:hint="eastAsia" w:ascii="Times New Roman" w:hAnsi="Times New Roman" w:eastAsia="仿宋_GB2312"/>
                <w:bCs/>
                <w:color w:val="000000"/>
                <w:kern w:val="44"/>
                <w:sz w:val="24"/>
              </w:rPr>
              <w:t>）</w:t>
            </w:r>
          </w:p>
        </w:tc>
        <w:tc>
          <w:tcPr>
            <w:tcW w:w="1032"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w:t>
            </w:r>
          </w:p>
        </w:tc>
        <w:tc>
          <w:tcPr>
            <w:tcW w:w="1021"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w:t>
            </w:r>
          </w:p>
        </w:tc>
        <w:tc>
          <w:tcPr>
            <w:tcW w:w="975"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≥74.5</w:t>
            </w:r>
          </w:p>
        </w:tc>
        <w:tc>
          <w:tcPr>
            <w:tcW w:w="966"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≥74.5</w:t>
            </w:r>
          </w:p>
        </w:tc>
        <w:tc>
          <w:tcPr>
            <w:tcW w:w="1337"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约束性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88"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8</w:t>
            </w:r>
          </w:p>
        </w:tc>
        <w:tc>
          <w:tcPr>
            <w:tcW w:w="3401" w:type="dxa"/>
            <w:vAlign w:val="center"/>
          </w:tcPr>
          <w:p>
            <w:pPr>
              <w:adjustRightInd w:val="0"/>
              <w:snapToGrid w:val="0"/>
              <w:spacing w:line="240" w:lineRule="exact"/>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饮用水水源水质达标率（</w:t>
            </w:r>
            <w:r>
              <w:rPr>
                <w:rFonts w:ascii="Times New Roman" w:hAnsi="Times New Roman" w:eastAsia="仿宋_GB2312"/>
                <w:bCs/>
                <w:color w:val="000000"/>
                <w:kern w:val="44"/>
                <w:sz w:val="24"/>
              </w:rPr>
              <w:t>%</w:t>
            </w:r>
            <w:r>
              <w:rPr>
                <w:rFonts w:hint="eastAsia" w:ascii="Times New Roman" w:hAnsi="Times New Roman" w:eastAsia="仿宋_GB2312"/>
                <w:bCs/>
                <w:color w:val="000000"/>
                <w:kern w:val="44"/>
                <w:sz w:val="24"/>
              </w:rPr>
              <w:t>）</w:t>
            </w:r>
          </w:p>
        </w:tc>
        <w:tc>
          <w:tcPr>
            <w:tcW w:w="1032"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100</w:t>
            </w:r>
          </w:p>
        </w:tc>
        <w:tc>
          <w:tcPr>
            <w:tcW w:w="1021"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100</w:t>
            </w:r>
          </w:p>
        </w:tc>
        <w:tc>
          <w:tcPr>
            <w:tcW w:w="975"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100</w:t>
            </w:r>
          </w:p>
        </w:tc>
        <w:tc>
          <w:tcPr>
            <w:tcW w:w="966"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100</w:t>
            </w:r>
          </w:p>
        </w:tc>
        <w:tc>
          <w:tcPr>
            <w:tcW w:w="1337"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约束性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5" w:hRule="atLeast"/>
          <w:jc w:val="center"/>
        </w:trPr>
        <w:tc>
          <w:tcPr>
            <w:tcW w:w="488"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9</w:t>
            </w:r>
          </w:p>
        </w:tc>
        <w:tc>
          <w:tcPr>
            <w:tcW w:w="3401" w:type="dxa"/>
            <w:vAlign w:val="center"/>
          </w:tcPr>
          <w:p>
            <w:pPr>
              <w:adjustRightInd w:val="0"/>
              <w:snapToGrid w:val="0"/>
              <w:spacing w:line="240" w:lineRule="exact"/>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空气质量优良天数（天）</w:t>
            </w:r>
          </w:p>
        </w:tc>
        <w:tc>
          <w:tcPr>
            <w:tcW w:w="1032"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304</w:t>
            </w:r>
          </w:p>
        </w:tc>
        <w:tc>
          <w:tcPr>
            <w:tcW w:w="1021"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w:t>
            </w:r>
            <w:r>
              <w:rPr>
                <w:rFonts w:ascii="Times New Roman" w:hAnsi="Times New Roman" w:eastAsia="仿宋_GB2312"/>
                <w:bCs/>
                <w:color w:val="000000"/>
                <w:kern w:val="44"/>
                <w:sz w:val="24"/>
              </w:rPr>
              <w:t>325</w:t>
            </w:r>
          </w:p>
        </w:tc>
        <w:tc>
          <w:tcPr>
            <w:tcW w:w="975"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w:t>
            </w:r>
            <w:r>
              <w:rPr>
                <w:rFonts w:ascii="Times New Roman" w:hAnsi="Times New Roman" w:eastAsia="仿宋_GB2312"/>
                <w:bCs/>
                <w:color w:val="000000"/>
                <w:kern w:val="44"/>
                <w:sz w:val="24"/>
              </w:rPr>
              <w:t>325</w:t>
            </w:r>
          </w:p>
        </w:tc>
        <w:tc>
          <w:tcPr>
            <w:tcW w:w="966"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w:t>
            </w:r>
          </w:p>
        </w:tc>
        <w:tc>
          <w:tcPr>
            <w:tcW w:w="1337"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约束性</w:t>
            </w:r>
          </w:p>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（市新增）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10</w:t>
            </w:r>
          </w:p>
        </w:tc>
        <w:tc>
          <w:tcPr>
            <w:tcW w:w="3401" w:type="dxa"/>
            <w:vAlign w:val="center"/>
          </w:tcPr>
          <w:p>
            <w:pPr>
              <w:adjustRightInd w:val="0"/>
              <w:snapToGrid w:val="0"/>
              <w:spacing w:line="240" w:lineRule="exact"/>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县城生活污水集中处理率</w:t>
            </w:r>
          </w:p>
        </w:tc>
        <w:tc>
          <w:tcPr>
            <w:tcW w:w="1032"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 xml:space="preserve">91.3 </w:t>
            </w:r>
          </w:p>
        </w:tc>
        <w:tc>
          <w:tcPr>
            <w:tcW w:w="1021"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90</w:t>
            </w:r>
          </w:p>
        </w:tc>
        <w:tc>
          <w:tcPr>
            <w:tcW w:w="975"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w:t>
            </w:r>
            <w:r>
              <w:rPr>
                <w:rFonts w:ascii="Times New Roman" w:hAnsi="Times New Roman" w:eastAsia="仿宋_GB2312"/>
                <w:bCs/>
                <w:color w:val="000000"/>
                <w:kern w:val="44"/>
                <w:sz w:val="24"/>
              </w:rPr>
              <w:t>90</w:t>
            </w:r>
          </w:p>
        </w:tc>
        <w:tc>
          <w:tcPr>
            <w:tcW w:w="966"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w:t>
            </w:r>
            <w:r>
              <w:rPr>
                <w:rFonts w:ascii="Times New Roman" w:hAnsi="Times New Roman" w:eastAsia="仿宋_GB2312"/>
                <w:bCs/>
                <w:color w:val="000000"/>
                <w:kern w:val="44"/>
                <w:sz w:val="24"/>
              </w:rPr>
              <w:t>88</w:t>
            </w:r>
          </w:p>
        </w:tc>
        <w:tc>
          <w:tcPr>
            <w:tcW w:w="1337"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11</w:t>
            </w:r>
          </w:p>
        </w:tc>
        <w:tc>
          <w:tcPr>
            <w:tcW w:w="3401" w:type="dxa"/>
            <w:vAlign w:val="center"/>
          </w:tcPr>
          <w:p>
            <w:pPr>
              <w:adjustRightInd w:val="0"/>
              <w:snapToGrid w:val="0"/>
              <w:spacing w:line="240" w:lineRule="exact"/>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历史遗留矿山地质环境治理率</w:t>
            </w:r>
          </w:p>
        </w:tc>
        <w:tc>
          <w:tcPr>
            <w:tcW w:w="1032"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19</w:t>
            </w:r>
          </w:p>
        </w:tc>
        <w:tc>
          <w:tcPr>
            <w:tcW w:w="1021"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≥50</w:t>
            </w:r>
          </w:p>
        </w:tc>
        <w:tc>
          <w:tcPr>
            <w:tcW w:w="975"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≥50</w:t>
            </w:r>
          </w:p>
        </w:tc>
        <w:tc>
          <w:tcPr>
            <w:tcW w:w="966"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≥50</w:t>
            </w:r>
          </w:p>
        </w:tc>
        <w:tc>
          <w:tcPr>
            <w:tcW w:w="1337"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约束性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jc w:val="center"/>
        </w:trPr>
        <w:tc>
          <w:tcPr>
            <w:tcW w:w="7883" w:type="dxa"/>
            <w:gridSpan w:val="6"/>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
                <w:bCs/>
                <w:color w:val="000000"/>
                <w:kern w:val="44"/>
                <w:sz w:val="24"/>
              </w:rPr>
              <w:t>绿色发展</w:t>
            </w:r>
          </w:p>
        </w:tc>
        <w:tc>
          <w:tcPr>
            <w:tcW w:w="1337" w:type="dxa"/>
            <w:vAlign w:val="center"/>
          </w:tcPr>
          <w:p>
            <w:pPr>
              <w:adjustRightInd w:val="0"/>
              <w:snapToGrid w:val="0"/>
              <w:spacing w:line="240" w:lineRule="exact"/>
              <w:jc w:val="center"/>
              <w:rPr>
                <w:rFonts w:ascii="Times New Roman" w:hAnsi="Times New Roman" w:eastAsia="仿宋_GB2312"/>
                <w:b/>
                <w:bCs/>
                <w:color w:val="000000"/>
                <w:kern w:val="44"/>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8"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12</w:t>
            </w:r>
          </w:p>
        </w:tc>
        <w:tc>
          <w:tcPr>
            <w:tcW w:w="3401" w:type="dxa"/>
            <w:vAlign w:val="center"/>
          </w:tcPr>
          <w:p>
            <w:pPr>
              <w:adjustRightInd w:val="0"/>
              <w:snapToGrid w:val="0"/>
              <w:spacing w:line="240" w:lineRule="exact"/>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单位生产总值能耗降低率（</w:t>
            </w:r>
            <w:r>
              <w:rPr>
                <w:rFonts w:ascii="Times New Roman" w:hAnsi="Times New Roman" w:eastAsia="仿宋_GB2312"/>
                <w:bCs/>
                <w:color w:val="000000"/>
                <w:kern w:val="44"/>
                <w:sz w:val="24"/>
              </w:rPr>
              <w:t>%</w:t>
            </w:r>
            <w:r>
              <w:rPr>
                <w:rFonts w:hint="eastAsia" w:ascii="Times New Roman" w:hAnsi="Times New Roman" w:eastAsia="仿宋_GB2312"/>
                <w:bCs/>
                <w:color w:val="000000"/>
                <w:kern w:val="44"/>
                <w:sz w:val="24"/>
              </w:rPr>
              <w:t>）</w:t>
            </w:r>
          </w:p>
        </w:tc>
        <w:tc>
          <w:tcPr>
            <w:tcW w:w="1032"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4.6</w:t>
            </w:r>
          </w:p>
        </w:tc>
        <w:tc>
          <w:tcPr>
            <w:tcW w:w="1021"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w:t>
            </w:r>
            <w:r>
              <w:rPr>
                <w:rFonts w:ascii="Times New Roman" w:hAnsi="Times New Roman" w:eastAsia="仿宋_GB2312"/>
                <w:bCs/>
                <w:color w:val="000000"/>
                <w:kern w:val="44"/>
                <w:sz w:val="24"/>
              </w:rPr>
              <w:t>4</w:t>
            </w:r>
          </w:p>
        </w:tc>
        <w:tc>
          <w:tcPr>
            <w:tcW w:w="975"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w:t>
            </w:r>
            <w:r>
              <w:rPr>
                <w:rFonts w:ascii="Times New Roman" w:hAnsi="Times New Roman" w:eastAsia="仿宋_GB2312"/>
                <w:bCs/>
                <w:color w:val="000000"/>
                <w:kern w:val="44"/>
                <w:sz w:val="24"/>
              </w:rPr>
              <w:t>4</w:t>
            </w:r>
          </w:p>
        </w:tc>
        <w:tc>
          <w:tcPr>
            <w:tcW w:w="966"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w:t>
            </w:r>
            <w:r>
              <w:rPr>
                <w:rFonts w:ascii="Times New Roman" w:hAnsi="Times New Roman" w:eastAsia="仿宋_GB2312"/>
                <w:bCs/>
                <w:color w:val="000000"/>
                <w:kern w:val="44"/>
                <w:sz w:val="24"/>
              </w:rPr>
              <w:t>4</w:t>
            </w:r>
          </w:p>
        </w:tc>
        <w:tc>
          <w:tcPr>
            <w:tcW w:w="1337"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8"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13</w:t>
            </w:r>
          </w:p>
        </w:tc>
        <w:tc>
          <w:tcPr>
            <w:tcW w:w="3401" w:type="dxa"/>
            <w:vAlign w:val="center"/>
          </w:tcPr>
          <w:p>
            <w:pPr>
              <w:adjustRightInd w:val="0"/>
              <w:snapToGrid w:val="0"/>
              <w:spacing w:line="240" w:lineRule="exact"/>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服务业增加值占</w:t>
            </w:r>
            <w:r>
              <w:rPr>
                <w:rFonts w:ascii="Times New Roman" w:hAnsi="Times New Roman" w:eastAsia="仿宋_GB2312"/>
                <w:bCs/>
                <w:color w:val="000000"/>
                <w:kern w:val="44"/>
                <w:sz w:val="24"/>
              </w:rPr>
              <w:t>GDP</w:t>
            </w:r>
            <w:r>
              <w:rPr>
                <w:rFonts w:hint="eastAsia" w:ascii="Times New Roman" w:hAnsi="Times New Roman" w:eastAsia="仿宋_GB2312"/>
                <w:bCs/>
                <w:color w:val="000000"/>
                <w:kern w:val="44"/>
                <w:sz w:val="24"/>
              </w:rPr>
              <w:t>比重（</w:t>
            </w:r>
            <w:r>
              <w:rPr>
                <w:rFonts w:ascii="Times New Roman" w:hAnsi="Times New Roman" w:eastAsia="仿宋_GB2312"/>
                <w:bCs/>
                <w:color w:val="000000"/>
                <w:kern w:val="44"/>
                <w:sz w:val="24"/>
              </w:rPr>
              <w:t>%</w:t>
            </w:r>
            <w:r>
              <w:rPr>
                <w:rFonts w:hint="eastAsia" w:ascii="Times New Roman" w:hAnsi="Times New Roman" w:eastAsia="仿宋_GB2312"/>
                <w:bCs/>
                <w:color w:val="000000"/>
                <w:kern w:val="44"/>
                <w:sz w:val="24"/>
              </w:rPr>
              <w:t>）</w:t>
            </w:r>
          </w:p>
        </w:tc>
        <w:tc>
          <w:tcPr>
            <w:tcW w:w="1032"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42.6</w:t>
            </w:r>
          </w:p>
        </w:tc>
        <w:tc>
          <w:tcPr>
            <w:tcW w:w="1021"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w:t>
            </w:r>
            <w:r>
              <w:rPr>
                <w:rFonts w:ascii="Times New Roman" w:hAnsi="Times New Roman" w:eastAsia="仿宋_GB2312"/>
                <w:bCs/>
                <w:color w:val="000000"/>
                <w:kern w:val="44"/>
                <w:sz w:val="24"/>
              </w:rPr>
              <w:t>45</w:t>
            </w:r>
          </w:p>
        </w:tc>
        <w:tc>
          <w:tcPr>
            <w:tcW w:w="975"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w:t>
            </w:r>
            <w:r>
              <w:rPr>
                <w:rFonts w:ascii="Times New Roman" w:hAnsi="Times New Roman" w:eastAsia="仿宋_GB2312"/>
                <w:bCs/>
                <w:color w:val="000000"/>
                <w:kern w:val="44"/>
                <w:sz w:val="24"/>
              </w:rPr>
              <w:t>45</w:t>
            </w:r>
          </w:p>
        </w:tc>
        <w:tc>
          <w:tcPr>
            <w:tcW w:w="966"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w:t>
            </w:r>
            <w:r>
              <w:rPr>
                <w:rFonts w:ascii="Times New Roman" w:hAnsi="Times New Roman" w:eastAsia="仿宋_GB2312"/>
                <w:bCs/>
                <w:color w:val="000000"/>
                <w:kern w:val="44"/>
                <w:sz w:val="24"/>
              </w:rPr>
              <w:t>45</w:t>
            </w:r>
          </w:p>
        </w:tc>
        <w:tc>
          <w:tcPr>
            <w:tcW w:w="1337"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jc w:val="center"/>
        </w:trPr>
        <w:tc>
          <w:tcPr>
            <w:tcW w:w="488"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14</w:t>
            </w:r>
          </w:p>
        </w:tc>
        <w:tc>
          <w:tcPr>
            <w:tcW w:w="3401" w:type="dxa"/>
            <w:vAlign w:val="center"/>
          </w:tcPr>
          <w:p>
            <w:pPr>
              <w:adjustRightInd w:val="0"/>
              <w:snapToGrid w:val="0"/>
              <w:spacing w:line="240" w:lineRule="exact"/>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创建国家</w:t>
            </w:r>
            <w:r>
              <w:rPr>
                <w:rFonts w:ascii="Times New Roman" w:hAnsi="Times New Roman" w:eastAsia="仿宋_GB2312"/>
                <w:bCs/>
                <w:color w:val="000000"/>
                <w:kern w:val="44"/>
                <w:sz w:val="24"/>
              </w:rPr>
              <w:t>4A</w:t>
            </w:r>
            <w:r>
              <w:rPr>
                <w:rFonts w:hint="eastAsia" w:ascii="Times New Roman" w:hAnsi="Times New Roman" w:eastAsia="仿宋_GB2312"/>
                <w:bCs/>
                <w:color w:val="000000"/>
                <w:kern w:val="44"/>
                <w:sz w:val="24"/>
              </w:rPr>
              <w:t>级旅游景区（省级旅游度假区）数量（个）</w:t>
            </w:r>
          </w:p>
        </w:tc>
        <w:tc>
          <w:tcPr>
            <w:tcW w:w="1032"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1</w:t>
            </w:r>
          </w:p>
        </w:tc>
        <w:tc>
          <w:tcPr>
            <w:tcW w:w="1021"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≥3</w:t>
            </w:r>
          </w:p>
        </w:tc>
        <w:tc>
          <w:tcPr>
            <w:tcW w:w="975"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≥25</w:t>
            </w:r>
          </w:p>
        </w:tc>
        <w:tc>
          <w:tcPr>
            <w:tcW w:w="966"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≥99</w:t>
            </w:r>
          </w:p>
        </w:tc>
        <w:tc>
          <w:tcPr>
            <w:tcW w:w="1337"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5" w:hRule="atLeast"/>
          <w:jc w:val="center"/>
        </w:trPr>
        <w:tc>
          <w:tcPr>
            <w:tcW w:w="488"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15</w:t>
            </w:r>
          </w:p>
        </w:tc>
        <w:tc>
          <w:tcPr>
            <w:tcW w:w="3401" w:type="dxa"/>
            <w:vAlign w:val="center"/>
          </w:tcPr>
          <w:p>
            <w:pPr>
              <w:adjustRightInd w:val="0"/>
              <w:snapToGrid w:val="0"/>
              <w:spacing w:line="240" w:lineRule="exact"/>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研究与试验发展经费投入强度（</w:t>
            </w:r>
            <w:r>
              <w:rPr>
                <w:rFonts w:ascii="Times New Roman" w:hAnsi="Times New Roman" w:eastAsia="仿宋_GB2312"/>
                <w:bCs/>
                <w:color w:val="000000"/>
                <w:kern w:val="44"/>
                <w:sz w:val="24"/>
              </w:rPr>
              <w:t>%</w:t>
            </w:r>
            <w:r>
              <w:rPr>
                <w:rFonts w:hint="eastAsia" w:ascii="Times New Roman" w:hAnsi="Times New Roman" w:eastAsia="仿宋_GB2312"/>
                <w:bCs/>
                <w:color w:val="000000"/>
                <w:kern w:val="44"/>
                <w:sz w:val="24"/>
              </w:rPr>
              <w:t>）</w:t>
            </w:r>
          </w:p>
        </w:tc>
        <w:tc>
          <w:tcPr>
            <w:tcW w:w="1032"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0.4</w:t>
            </w:r>
          </w:p>
        </w:tc>
        <w:tc>
          <w:tcPr>
            <w:tcW w:w="1021"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≥1</w:t>
            </w:r>
          </w:p>
        </w:tc>
        <w:tc>
          <w:tcPr>
            <w:tcW w:w="975"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≥1</w:t>
            </w:r>
          </w:p>
        </w:tc>
        <w:tc>
          <w:tcPr>
            <w:tcW w:w="966"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≥2.5</w:t>
            </w:r>
          </w:p>
        </w:tc>
        <w:tc>
          <w:tcPr>
            <w:tcW w:w="1337"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6" w:hRule="atLeast"/>
          <w:jc w:val="center"/>
        </w:trPr>
        <w:tc>
          <w:tcPr>
            <w:tcW w:w="7883" w:type="dxa"/>
            <w:gridSpan w:val="6"/>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
                <w:bCs/>
                <w:color w:val="000000"/>
                <w:kern w:val="44"/>
                <w:sz w:val="24"/>
              </w:rPr>
              <w:t>民生福祉</w:t>
            </w:r>
          </w:p>
        </w:tc>
        <w:tc>
          <w:tcPr>
            <w:tcW w:w="1337" w:type="dxa"/>
            <w:vAlign w:val="center"/>
          </w:tcPr>
          <w:p>
            <w:pPr>
              <w:adjustRightInd w:val="0"/>
              <w:snapToGrid w:val="0"/>
              <w:spacing w:line="240" w:lineRule="exact"/>
              <w:jc w:val="center"/>
              <w:rPr>
                <w:rFonts w:ascii="Times New Roman" w:hAnsi="Times New Roman" w:eastAsia="仿宋_GB2312"/>
                <w:b/>
                <w:bCs/>
                <w:color w:val="000000"/>
                <w:kern w:val="44"/>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5" w:hRule="atLeast"/>
          <w:jc w:val="center"/>
        </w:trPr>
        <w:tc>
          <w:tcPr>
            <w:tcW w:w="488"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16</w:t>
            </w:r>
          </w:p>
        </w:tc>
        <w:tc>
          <w:tcPr>
            <w:tcW w:w="3401" w:type="dxa"/>
            <w:vAlign w:val="center"/>
          </w:tcPr>
          <w:p>
            <w:pPr>
              <w:adjustRightInd w:val="0"/>
              <w:snapToGrid w:val="0"/>
              <w:spacing w:line="240" w:lineRule="exact"/>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居民人均可支配收入年均增长率（</w:t>
            </w:r>
            <w:r>
              <w:rPr>
                <w:rFonts w:ascii="Times New Roman" w:hAnsi="Times New Roman" w:eastAsia="仿宋_GB2312"/>
                <w:bCs/>
                <w:color w:val="000000"/>
                <w:kern w:val="44"/>
                <w:sz w:val="24"/>
              </w:rPr>
              <w:t>%</w:t>
            </w:r>
            <w:r>
              <w:rPr>
                <w:rFonts w:hint="eastAsia" w:ascii="Times New Roman" w:hAnsi="Times New Roman" w:eastAsia="仿宋_GB2312"/>
                <w:bCs/>
                <w:color w:val="000000"/>
                <w:kern w:val="44"/>
                <w:sz w:val="24"/>
              </w:rPr>
              <w:t>）</w:t>
            </w:r>
          </w:p>
        </w:tc>
        <w:tc>
          <w:tcPr>
            <w:tcW w:w="1032"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10</w:t>
            </w:r>
          </w:p>
        </w:tc>
        <w:tc>
          <w:tcPr>
            <w:tcW w:w="1021"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w:t>
            </w:r>
            <w:r>
              <w:rPr>
                <w:rFonts w:ascii="Times New Roman" w:hAnsi="Times New Roman" w:eastAsia="仿宋_GB2312"/>
                <w:bCs/>
                <w:color w:val="000000"/>
                <w:kern w:val="44"/>
                <w:sz w:val="24"/>
              </w:rPr>
              <w:t>7</w:t>
            </w:r>
          </w:p>
        </w:tc>
        <w:tc>
          <w:tcPr>
            <w:tcW w:w="975"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w:t>
            </w:r>
            <w:r>
              <w:rPr>
                <w:rFonts w:ascii="Times New Roman" w:hAnsi="Times New Roman" w:eastAsia="仿宋_GB2312"/>
                <w:bCs/>
                <w:color w:val="000000"/>
                <w:kern w:val="44"/>
                <w:sz w:val="24"/>
              </w:rPr>
              <w:t>7</w:t>
            </w:r>
          </w:p>
        </w:tc>
        <w:tc>
          <w:tcPr>
            <w:tcW w:w="966"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w:t>
            </w:r>
            <w:r>
              <w:rPr>
                <w:rFonts w:ascii="Times New Roman" w:hAnsi="Times New Roman" w:eastAsia="仿宋_GB2312"/>
                <w:bCs/>
                <w:color w:val="000000"/>
                <w:kern w:val="44"/>
                <w:sz w:val="24"/>
              </w:rPr>
              <w:t>7</w:t>
            </w:r>
          </w:p>
        </w:tc>
        <w:tc>
          <w:tcPr>
            <w:tcW w:w="1337"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6" w:hRule="atLeast"/>
          <w:jc w:val="center"/>
        </w:trPr>
        <w:tc>
          <w:tcPr>
            <w:tcW w:w="488"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17</w:t>
            </w:r>
          </w:p>
        </w:tc>
        <w:tc>
          <w:tcPr>
            <w:tcW w:w="3401" w:type="dxa"/>
            <w:vAlign w:val="center"/>
          </w:tcPr>
          <w:p>
            <w:pPr>
              <w:adjustRightInd w:val="0"/>
              <w:snapToGrid w:val="0"/>
              <w:spacing w:line="240" w:lineRule="exact"/>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劳动年龄人口平均受教育年限（年）</w:t>
            </w:r>
          </w:p>
        </w:tc>
        <w:tc>
          <w:tcPr>
            <w:tcW w:w="1032"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11.5</w:t>
            </w:r>
          </w:p>
        </w:tc>
        <w:tc>
          <w:tcPr>
            <w:tcW w:w="1021"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w:t>
            </w:r>
            <w:r>
              <w:rPr>
                <w:rFonts w:ascii="Times New Roman" w:hAnsi="Times New Roman" w:eastAsia="仿宋_GB2312"/>
                <w:bCs/>
                <w:color w:val="000000"/>
                <w:kern w:val="44"/>
                <w:sz w:val="24"/>
              </w:rPr>
              <w:t>14</w:t>
            </w:r>
          </w:p>
        </w:tc>
        <w:tc>
          <w:tcPr>
            <w:tcW w:w="975"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w:t>
            </w:r>
            <w:r>
              <w:rPr>
                <w:rFonts w:ascii="Times New Roman" w:hAnsi="Times New Roman" w:eastAsia="仿宋_GB2312"/>
                <w:bCs/>
                <w:color w:val="000000"/>
                <w:kern w:val="44"/>
                <w:sz w:val="24"/>
              </w:rPr>
              <w:t>14</w:t>
            </w:r>
          </w:p>
        </w:tc>
        <w:tc>
          <w:tcPr>
            <w:tcW w:w="966"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w:t>
            </w:r>
            <w:r>
              <w:rPr>
                <w:rFonts w:ascii="Times New Roman" w:hAnsi="Times New Roman" w:eastAsia="仿宋_GB2312"/>
                <w:bCs/>
                <w:color w:val="000000"/>
                <w:kern w:val="44"/>
                <w:sz w:val="24"/>
              </w:rPr>
              <w:t>14</w:t>
            </w:r>
          </w:p>
        </w:tc>
        <w:tc>
          <w:tcPr>
            <w:tcW w:w="1337"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5" w:hRule="atLeast"/>
          <w:jc w:val="center"/>
        </w:trPr>
        <w:tc>
          <w:tcPr>
            <w:tcW w:w="488"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18</w:t>
            </w:r>
          </w:p>
        </w:tc>
        <w:tc>
          <w:tcPr>
            <w:tcW w:w="3401" w:type="dxa"/>
            <w:vAlign w:val="center"/>
          </w:tcPr>
          <w:p>
            <w:pPr>
              <w:adjustRightInd w:val="0"/>
              <w:snapToGrid w:val="0"/>
              <w:spacing w:line="240" w:lineRule="exact"/>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人均预期寿命（岁）</w:t>
            </w:r>
          </w:p>
        </w:tc>
        <w:tc>
          <w:tcPr>
            <w:tcW w:w="1032"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76</w:t>
            </w:r>
          </w:p>
        </w:tc>
        <w:tc>
          <w:tcPr>
            <w:tcW w:w="1021"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w:t>
            </w:r>
            <w:r>
              <w:rPr>
                <w:rFonts w:ascii="Times New Roman" w:hAnsi="Times New Roman" w:eastAsia="仿宋_GB2312"/>
                <w:bCs/>
                <w:color w:val="000000"/>
                <w:kern w:val="44"/>
                <w:sz w:val="24"/>
              </w:rPr>
              <w:t>78</w:t>
            </w:r>
          </w:p>
        </w:tc>
        <w:tc>
          <w:tcPr>
            <w:tcW w:w="975"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w:t>
            </w:r>
            <w:r>
              <w:rPr>
                <w:rFonts w:ascii="Times New Roman" w:hAnsi="Times New Roman" w:eastAsia="仿宋_GB2312"/>
                <w:bCs/>
                <w:color w:val="000000"/>
                <w:kern w:val="44"/>
                <w:sz w:val="24"/>
              </w:rPr>
              <w:t>78</w:t>
            </w:r>
          </w:p>
        </w:tc>
        <w:tc>
          <w:tcPr>
            <w:tcW w:w="966"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w:t>
            </w:r>
            <w:r>
              <w:rPr>
                <w:rFonts w:ascii="Times New Roman" w:hAnsi="Times New Roman" w:eastAsia="仿宋_GB2312"/>
                <w:bCs/>
                <w:color w:val="000000"/>
                <w:kern w:val="44"/>
                <w:sz w:val="24"/>
              </w:rPr>
              <w:t>78</w:t>
            </w:r>
          </w:p>
        </w:tc>
        <w:tc>
          <w:tcPr>
            <w:tcW w:w="1337"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6" w:hRule="atLeast"/>
          <w:jc w:val="center"/>
        </w:trPr>
        <w:tc>
          <w:tcPr>
            <w:tcW w:w="488"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19</w:t>
            </w:r>
          </w:p>
        </w:tc>
        <w:tc>
          <w:tcPr>
            <w:tcW w:w="3401" w:type="dxa"/>
            <w:vAlign w:val="center"/>
          </w:tcPr>
          <w:p>
            <w:pPr>
              <w:adjustRightInd w:val="0"/>
              <w:snapToGrid w:val="0"/>
              <w:spacing w:line="240" w:lineRule="exact"/>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学前三年教育毛入学率（</w:t>
            </w:r>
            <w:r>
              <w:rPr>
                <w:rFonts w:ascii="Times New Roman" w:hAnsi="Times New Roman" w:eastAsia="仿宋_GB2312"/>
                <w:bCs/>
                <w:color w:val="000000"/>
                <w:kern w:val="44"/>
                <w:sz w:val="24"/>
              </w:rPr>
              <w:t>%</w:t>
            </w:r>
            <w:r>
              <w:rPr>
                <w:rFonts w:hint="eastAsia" w:ascii="Times New Roman" w:hAnsi="Times New Roman" w:eastAsia="仿宋_GB2312"/>
                <w:bCs/>
                <w:color w:val="000000"/>
                <w:kern w:val="44"/>
                <w:sz w:val="24"/>
              </w:rPr>
              <w:t>）</w:t>
            </w:r>
          </w:p>
        </w:tc>
        <w:tc>
          <w:tcPr>
            <w:tcW w:w="1032"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95.9</w:t>
            </w:r>
          </w:p>
        </w:tc>
        <w:tc>
          <w:tcPr>
            <w:tcW w:w="1021"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w:t>
            </w:r>
            <w:r>
              <w:rPr>
                <w:rFonts w:ascii="Times New Roman" w:hAnsi="Times New Roman" w:eastAsia="仿宋_GB2312"/>
                <w:bCs/>
                <w:color w:val="000000"/>
                <w:kern w:val="44"/>
                <w:sz w:val="24"/>
              </w:rPr>
              <w:t>97</w:t>
            </w:r>
          </w:p>
        </w:tc>
        <w:tc>
          <w:tcPr>
            <w:tcW w:w="975" w:type="dxa"/>
            <w:vAlign w:val="center"/>
          </w:tcPr>
          <w:p>
            <w:pPr>
              <w:adjustRightInd w:val="0"/>
              <w:snapToGrid w:val="0"/>
              <w:spacing w:line="240" w:lineRule="exact"/>
              <w:ind w:firstLine="240" w:firstLineChars="100"/>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w:t>
            </w:r>
            <w:r>
              <w:rPr>
                <w:rFonts w:ascii="Times New Roman" w:hAnsi="Times New Roman" w:eastAsia="仿宋_GB2312"/>
                <w:bCs/>
                <w:color w:val="000000"/>
                <w:kern w:val="44"/>
                <w:sz w:val="24"/>
              </w:rPr>
              <w:t>97</w:t>
            </w:r>
          </w:p>
        </w:tc>
        <w:tc>
          <w:tcPr>
            <w:tcW w:w="966"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w:t>
            </w:r>
            <w:r>
              <w:rPr>
                <w:rFonts w:ascii="Times New Roman" w:hAnsi="Times New Roman" w:eastAsia="仿宋_GB2312"/>
                <w:bCs/>
                <w:color w:val="000000"/>
                <w:kern w:val="44"/>
                <w:sz w:val="24"/>
              </w:rPr>
              <w:t>96</w:t>
            </w:r>
          </w:p>
        </w:tc>
        <w:tc>
          <w:tcPr>
            <w:tcW w:w="1337"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预期性</w:t>
            </w:r>
          </w:p>
        </w:tc>
      </w:tr>
    </w:tbl>
    <w:p>
      <w:pPr>
        <w:spacing w:line="540" w:lineRule="exact"/>
        <w:jc w:val="center"/>
        <w:outlineLvl w:val="0"/>
        <w:rPr>
          <w:rFonts w:ascii="Times New Roman" w:hAnsi="Times New Roman" w:eastAsia="黑体"/>
          <w:color w:val="000000"/>
          <w:sz w:val="32"/>
          <w:szCs w:val="32"/>
        </w:rPr>
      </w:pPr>
      <w:bookmarkStart w:id="39" w:name="_Toc14009"/>
      <w:bookmarkStart w:id="40" w:name="_Toc32687"/>
      <w:bookmarkStart w:id="41" w:name="_Toc1161"/>
    </w:p>
    <w:p>
      <w:pPr>
        <w:spacing w:line="560" w:lineRule="exact"/>
        <w:jc w:val="center"/>
        <w:outlineLvl w:val="0"/>
        <w:rPr>
          <w:rFonts w:ascii="Times New Roman" w:hAnsi="Times New Roman" w:eastAsia="黑体"/>
          <w:color w:val="000000"/>
          <w:sz w:val="32"/>
          <w:szCs w:val="32"/>
        </w:rPr>
      </w:pPr>
      <w:r>
        <w:rPr>
          <w:rFonts w:hint="eastAsia" w:ascii="Times New Roman" w:hAnsi="Times New Roman" w:eastAsia="黑体"/>
          <w:color w:val="000000"/>
          <w:sz w:val="32"/>
          <w:szCs w:val="32"/>
        </w:rPr>
        <w:t>第三章</w:t>
      </w:r>
      <w:r>
        <w:rPr>
          <w:rFonts w:ascii="Times New Roman" w:hAnsi="Times New Roman" w:eastAsia="黑体"/>
          <w:color w:val="000000"/>
          <w:sz w:val="32"/>
          <w:szCs w:val="32"/>
        </w:rPr>
        <w:t xml:space="preserve">  </w:t>
      </w:r>
      <w:r>
        <w:rPr>
          <w:rFonts w:hint="eastAsia" w:ascii="Times New Roman" w:hAnsi="Times New Roman" w:eastAsia="黑体"/>
          <w:color w:val="000000"/>
          <w:sz w:val="32"/>
          <w:szCs w:val="32"/>
        </w:rPr>
        <w:t>方案分区</w:t>
      </w:r>
      <w:bookmarkEnd w:id="39"/>
      <w:bookmarkEnd w:id="40"/>
      <w:bookmarkEnd w:id="41"/>
    </w:p>
    <w:p>
      <w:pPr>
        <w:spacing w:line="560" w:lineRule="exact"/>
        <w:ind w:firstLine="640" w:firstLineChars="200"/>
        <w:rPr>
          <w:rFonts w:ascii="Times New Roman" w:hAnsi="Times New Roman" w:eastAsia="仿宋_GB2312"/>
          <w:color w:val="000000"/>
          <w:sz w:val="32"/>
          <w:szCs w:val="32"/>
        </w:rPr>
      </w:pP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根据陕西省秦岭生态环境保护《条例》、《总体规划》以及商洛市《规划》规定和要求，按照海拔高度、主梁、自然保护地分布等要素，划分为核心保护区、重点保护区和一般保护区，实行</w:t>
      </w:r>
      <w:r>
        <w:rPr>
          <w:rFonts w:hint="eastAsia" w:ascii="Times New Roman" w:hAnsi="Times New Roman" w:eastAsia="仿宋_GB2312"/>
          <w:color w:val="000000"/>
          <w:spacing w:val="-10"/>
          <w:sz w:val="32"/>
          <w:szCs w:val="32"/>
        </w:rPr>
        <w:t>分区保护（洛南县秦岭生态环境保护方案分区保护示意图见附件</w:t>
      </w:r>
      <w:r>
        <w:rPr>
          <w:rFonts w:ascii="Times New Roman" w:hAnsi="Times New Roman" w:eastAsia="仿宋_GB2312"/>
          <w:color w:val="000000"/>
          <w:spacing w:val="-10"/>
          <w:sz w:val="32"/>
          <w:szCs w:val="32"/>
        </w:rPr>
        <w:t>2</w:t>
      </w:r>
      <w:r>
        <w:rPr>
          <w:rFonts w:hint="eastAsia" w:ascii="Times New Roman" w:hAnsi="Times New Roman" w:eastAsia="仿宋_GB2312"/>
          <w:color w:val="000000"/>
          <w:spacing w:val="-10"/>
          <w:sz w:val="32"/>
          <w:szCs w:val="32"/>
        </w:rPr>
        <w:t>）。</w:t>
      </w:r>
    </w:p>
    <w:p>
      <w:pPr>
        <w:spacing w:line="560" w:lineRule="exact"/>
        <w:jc w:val="center"/>
        <w:outlineLvl w:val="1"/>
        <w:rPr>
          <w:rFonts w:ascii="Times New Roman" w:hAnsi="Times New Roman" w:eastAsia="楷体_GB2312"/>
          <w:b/>
          <w:bCs/>
          <w:color w:val="000000"/>
          <w:sz w:val="32"/>
          <w:szCs w:val="32"/>
        </w:rPr>
      </w:pPr>
      <w:bookmarkStart w:id="42" w:name="_Toc18036"/>
      <w:bookmarkStart w:id="43" w:name="_Toc16937"/>
      <w:bookmarkStart w:id="44" w:name="_Toc13768"/>
    </w:p>
    <w:p>
      <w:pPr>
        <w:spacing w:line="560" w:lineRule="exact"/>
        <w:jc w:val="center"/>
        <w:outlineLvl w:val="1"/>
        <w:rPr>
          <w:rFonts w:ascii="Times New Roman" w:hAnsi="Times New Roman" w:eastAsia="楷体_GB2312"/>
          <w:b/>
          <w:bCs/>
          <w:color w:val="000000"/>
          <w:sz w:val="32"/>
          <w:szCs w:val="32"/>
        </w:rPr>
      </w:pPr>
      <w:r>
        <w:rPr>
          <w:rFonts w:hint="eastAsia" w:ascii="Times New Roman" w:hAnsi="Times New Roman" w:eastAsia="楷体_GB2312"/>
          <w:b/>
          <w:bCs/>
          <w:color w:val="000000"/>
          <w:sz w:val="32"/>
          <w:szCs w:val="32"/>
        </w:rPr>
        <w:t>第一节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核心保护区</w:t>
      </w:r>
      <w:bookmarkEnd w:id="42"/>
      <w:bookmarkEnd w:id="43"/>
      <w:bookmarkEnd w:id="44"/>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区域范围。</w:t>
      </w:r>
      <w:r>
        <w:rPr>
          <w:rFonts w:hint="eastAsia" w:ascii="Times New Roman" w:hAnsi="Times New Roman" w:eastAsia="仿宋_GB2312"/>
          <w:color w:val="000000"/>
          <w:sz w:val="32"/>
          <w:szCs w:val="32"/>
        </w:rPr>
        <w:t>核心保护区主要包括海拔</w:t>
      </w:r>
      <w:r>
        <w:rPr>
          <w:rFonts w:ascii="Times New Roman" w:hAnsi="Times New Roman" w:eastAsia="仿宋_GB2312"/>
          <w:color w:val="000000"/>
          <w:sz w:val="32"/>
          <w:szCs w:val="32"/>
        </w:rPr>
        <w:t>2000</w:t>
      </w:r>
      <w:r>
        <w:rPr>
          <w:rFonts w:hint="eastAsia" w:ascii="Times New Roman" w:hAnsi="Times New Roman" w:eastAsia="仿宋_GB2312"/>
          <w:color w:val="000000"/>
          <w:sz w:val="32"/>
          <w:szCs w:val="32"/>
        </w:rPr>
        <w:t>米以上区域，秦岭山系主梁两侧各</w:t>
      </w:r>
      <w:r>
        <w:rPr>
          <w:rFonts w:ascii="Times New Roman" w:hAnsi="Times New Roman" w:eastAsia="仿宋_GB2312"/>
          <w:color w:val="000000"/>
          <w:sz w:val="32"/>
          <w:szCs w:val="32"/>
        </w:rPr>
        <w:t>1000</w:t>
      </w:r>
      <w:r>
        <w:rPr>
          <w:rFonts w:hint="eastAsia" w:ascii="Times New Roman" w:hAnsi="Times New Roman" w:eastAsia="仿宋_GB2312"/>
          <w:color w:val="000000"/>
          <w:sz w:val="32"/>
          <w:szCs w:val="32"/>
        </w:rPr>
        <w:t>米以内（按照投影范围计算）；国家公园、自然保护区的核心保护区；饮用水水源一级保护区；自然保护区一般控制区中珍稀濒危野生动物栖息地与其他重要生态功能区集中连片，需要整体性、系统性保护的区域，国土空间规划确定的城镇开发边界范围除外（核心保护区示意图见附件</w:t>
      </w:r>
      <w:r>
        <w:rPr>
          <w:rFonts w:ascii="Times New Roman" w:hAnsi="Times New Roman" w:eastAsia="仿宋_GB2312"/>
          <w:color w:val="000000"/>
          <w:sz w:val="32"/>
          <w:szCs w:val="32"/>
        </w:rPr>
        <w:t>3</w:t>
      </w:r>
      <w:r>
        <w:rPr>
          <w:rFonts w:hint="eastAsia" w:ascii="Times New Roman" w:hAnsi="Times New Roman" w:eastAsia="仿宋_GB2312"/>
          <w:color w:val="000000"/>
          <w:sz w:val="32"/>
          <w:szCs w:val="32"/>
        </w:rPr>
        <w:t>）。核心保护区涉及洛源（五龙村、龙潭村、农林村）、寺耳（高村、王沟村、胭脂河村）、永丰（席塬村）等</w:t>
      </w:r>
      <w:r>
        <w:rPr>
          <w:rFonts w:ascii="Times New Roman" w:hAnsi="Times New Roman" w:eastAsia="仿宋_GB2312"/>
          <w:color w:val="000000"/>
          <w:sz w:val="32"/>
          <w:szCs w:val="32"/>
        </w:rPr>
        <w:t>3</w:t>
      </w:r>
      <w:r>
        <w:rPr>
          <w:rFonts w:hint="eastAsia" w:ascii="Times New Roman" w:hAnsi="Times New Roman" w:eastAsia="仿宋_GB2312"/>
          <w:color w:val="000000"/>
          <w:sz w:val="32"/>
          <w:szCs w:val="32"/>
        </w:rPr>
        <w:t>个镇、</w:t>
      </w:r>
      <w:r>
        <w:rPr>
          <w:rFonts w:ascii="Times New Roman" w:hAnsi="Times New Roman" w:eastAsia="仿宋_GB2312"/>
          <w:color w:val="000000"/>
          <w:sz w:val="32"/>
          <w:szCs w:val="32"/>
        </w:rPr>
        <w:t>7</w:t>
      </w:r>
      <w:r>
        <w:rPr>
          <w:rFonts w:hint="eastAsia" w:ascii="Times New Roman" w:hAnsi="Times New Roman" w:eastAsia="仿宋_GB2312"/>
          <w:color w:val="000000"/>
          <w:sz w:val="32"/>
          <w:szCs w:val="32"/>
        </w:rPr>
        <w:t>个行政村的部分村民小组，常住人口不足</w:t>
      </w:r>
      <w:r>
        <w:rPr>
          <w:rFonts w:ascii="Times New Roman" w:hAnsi="Times New Roman" w:eastAsia="仿宋_GB2312"/>
          <w:color w:val="000000"/>
          <w:sz w:val="32"/>
          <w:szCs w:val="32"/>
        </w:rPr>
        <w:t>200</w:t>
      </w:r>
      <w:r>
        <w:rPr>
          <w:rFonts w:hint="eastAsia" w:ascii="Times New Roman" w:hAnsi="Times New Roman" w:eastAsia="仿宋_GB2312"/>
          <w:color w:val="000000"/>
          <w:sz w:val="32"/>
          <w:szCs w:val="32"/>
        </w:rPr>
        <w:t>人，面积约</w:t>
      </w:r>
      <w:r>
        <w:rPr>
          <w:rFonts w:ascii="Times New Roman" w:hAnsi="Times New Roman" w:eastAsia="仿宋_GB2312"/>
          <w:color w:val="000000"/>
          <w:sz w:val="32"/>
          <w:szCs w:val="32"/>
        </w:rPr>
        <w:t>62.5</w:t>
      </w:r>
      <w:r>
        <w:rPr>
          <w:rFonts w:hint="eastAsia" w:ascii="Times New Roman" w:hAnsi="Times New Roman" w:eastAsia="仿宋_GB2312"/>
          <w:color w:val="000000"/>
          <w:sz w:val="32"/>
          <w:szCs w:val="32"/>
        </w:rPr>
        <w:t>平方公里，约占全县保护区范围的</w:t>
      </w:r>
      <w:r>
        <w:rPr>
          <w:rFonts w:ascii="Times New Roman" w:hAnsi="Times New Roman" w:eastAsia="仿宋_GB2312"/>
          <w:color w:val="000000"/>
          <w:sz w:val="32"/>
          <w:szCs w:val="32"/>
        </w:rPr>
        <w:t>2.21%</w:t>
      </w:r>
      <w:r>
        <w:rPr>
          <w:rFonts w:hint="eastAsia" w:ascii="Times New Roman" w:hAnsi="Times New Roman" w:eastAsia="仿宋_GB2312"/>
          <w:color w:val="000000"/>
          <w:sz w:val="32"/>
          <w:szCs w:val="32"/>
        </w:rPr>
        <w:t>。</w:t>
      </w:r>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保护要求。</w:t>
      </w:r>
      <w:r>
        <w:rPr>
          <w:rFonts w:hint="eastAsia" w:ascii="Times New Roman" w:hAnsi="Times New Roman" w:eastAsia="仿宋_GB2312"/>
          <w:color w:val="000000"/>
          <w:sz w:val="32"/>
          <w:szCs w:val="32"/>
        </w:rPr>
        <w:t>核心保护区内山高谷深、水源富集，人类活动微弱。天然植被基本处于原始状态，生态环境良好，生态系统比较单一，抗干扰能力差，具有较高的科学研究和自然生态价值，对于保持秦岭生态环境的系统性、整体性、原真性至关重要。除《条例》另有规定外，核心保护区不得进行与生态保护、科学研究无关的活动。法律、行政法规对核心保护区管理有相关规定的，依照相关规定执行。</w:t>
      </w:r>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重点任务。</w:t>
      </w:r>
      <w:r>
        <w:rPr>
          <w:rFonts w:hint="eastAsia" w:ascii="Times New Roman" w:hAnsi="Times New Roman" w:eastAsia="仿宋_GB2312"/>
          <w:color w:val="000000"/>
          <w:sz w:val="32"/>
          <w:szCs w:val="32"/>
        </w:rPr>
        <w:t>推进水源涵养和生物多样性保护，保持野生动植物物种和种群平衡，增强森林防</w:t>
      </w:r>
      <w:r>
        <w:rPr>
          <w:rFonts w:hint="eastAsia" w:ascii="Times New Roman" w:hAnsi="Times New Roman" w:eastAsia="仿宋_GB2312"/>
          <w:color w:val="000000"/>
          <w:spacing w:val="-6"/>
          <w:sz w:val="32"/>
          <w:szCs w:val="32"/>
        </w:rPr>
        <w:t>火和林业有害生物防治预警能力，减少地质灾害的发生。引导居民逐步有序迁出，逐渐实现污染物</w:t>
      </w:r>
      <w:r>
        <w:rPr>
          <w:rFonts w:ascii="Times New Roman" w:hAnsi="Times New Roman" w:eastAsia="仿宋_GB2312"/>
          <w:color w:val="000000"/>
          <w:spacing w:val="-6"/>
          <w:sz w:val="32"/>
          <w:szCs w:val="32"/>
        </w:rPr>
        <w:t>“</w:t>
      </w:r>
      <w:r>
        <w:rPr>
          <w:rFonts w:hint="eastAsia" w:ascii="Times New Roman" w:hAnsi="Times New Roman" w:eastAsia="仿宋_GB2312"/>
          <w:color w:val="000000"/>
          <w:spacing w:val="-6"/>
          <w:sz w:val="32"/>
          <w:szCs w:val="32"/>
        </w:rPr>
        <w:t>零排放</w:t>
      </w:r>
      <w:r>
        <w:rPr>
          <w:rFonts w:ascii="Times New Roman" w:hAnsi="Times New Roman" w:eastAsia="仿宋_GB2312"/>
          <w:color w:val="000000"/>
          <w:spacing w:val="-6"/>
          <w:sz w:val="32"/>
          <w:szCs w:val="32"/>
        </w:rPr>
        <w:t>”</w:t>
      </w:r>
      <w:r>
        <w:rPr>
          <w:rFonts w:hint="eastAsia" w:ascii="Times New Roman" w:hAnsi="Times New Roman" w:eastAsia="仿宋_GB2312"/>
          <w:color w:val="000000"/>
          <w:spacing w:val="-6"/>
          <w:sz w:val="32"/>
          <w:szCs w:val="32"/>
        </w:rPr>
        <w:t>。依法组织现有不符合</w:t>
      </w:r>
      <w:r>
        <w:rPr>
          <w:rFonts w:hint="eastAsia" w:ascii="Times New Roman" w:hAnsi="Times New Roman" w:eastAsia="仿宋_GB2312"/>
          <w:color w:val="000000"/>
          <w:sz w:val="32"/>
          <w:szCs w:val="32"/>
        </w:rPr>
        <w:t>管理要求的建设项目限期退出。</w:t>
      </w:r>
    </w:p>
    <w:p>
      <w:pPr>
        <w:spacing w:line="560" w:lineRule="exact"/>
        <w:jc w:val="center"/>
        <w:rPr>
          <w:rFonts w:ascii="Times New Roman" w:hAnsi="Times New Roman" w:eastAsia="楷体_GB2312"/>
          <w:b/>
          <w:bCs/>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45" w:name="_Toc12070"/>
      <w:bookmarkStart w:id="46" w:name="_Toc2456"/>
      <w:bookmarkStart w:id="47" w:name="_Toc4564"/>
      <w:r>
        <w:rPr>
          <w:rFonts w:hint="eastAsia" w:ascii="Times New Roman" w:hAnsi="Times New Roman" w:eastAsia="楷体_GB2312"/>
          <w:b/>
          <w:bCs/>
          <w:color w:val="000000"/>
          <w:sz w:val="32"/>
          <w:szCs w:val="32"/>
        </w:rPr>
        <w:t>第二节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重点保护区</w:t>
      </w:r>
      <w:bookmarkEnd w:id="45"/>
      <w:bookmarkEnd w:id="46"/>
      <w:bookmarkEnd w:id="47"/>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区域范围。</w:t>
      </w:r>
      <w:r>
        <w:rPr>
          <w:rFonts w:hint="eastAsia" w:ascii="Times New Roman" w:hAnsi="Times New Roman" w:eastAsia="仿宋_GB2312"/>
          <w:color w:val="000000"/>
          <w:sz w:val="32"/>
          <w:szCs w:val="32"/>
        </w:rPr>
        <w:t>重点保护区主要包括海拔</w:t>
      </w:r>
      <w:r>
        <w:rPr>
          <w:rFonts w:ascii="Times New Roman" w:hAnsi="Times New Roman" w:eastAsia="仿宋_GB2312"/>
          <w:color w:val="000000"/>
          <w:sz w:val="32"/>
          <w:szCs w:val="32"/>
        </w:rPr>
        <w:t>1500</w:t>
      </w:r>
      <w:r>
        <w:rPr>
          <w:rFonts w:hint="eastAsia" w:ascii="Times New Roman" w:hAnsi="Times New Roman" w:eastAsia="仿宋_GB2312"/>
          <w:color w:val="000000"/>
          <w:sz w:val="32"/>
          <w:szCs w:val="32"/>
        </w:rPr>
        <w:t>米至</w:t>
      </w:r>
      <w:r>
        <w:rPr>
          <w:rFonts w:ascii="Times New Roman" w:hAnsi="Times New Roman" w:eastAsia="仿宋_GB2312"/>
          <w:color w:val="000000"/>
          <w:sz w:val="32"/>
          <w:szCs w:val="32"/>
        </w:rPr>
        <w:t>2000</w:t>
      </w:r>
      <w:r>
        <w:rPr>
          <w:rFonts w:hint="eastAsia" w:ascii="Times New Roman" w:hAnsi="Times New Roman" w:eastAsia="仿宋_GB2312"/>
          <w:color w:val="000000"/>
          <w:sz w:val="32"/>
          <w:szCs w:val="32"/>
        </w:rPr>
        <w:t>米之间的区域；国家公园、自然保护区的一般控制区，饮用水水源二级保护区；国家级和省级风景名胜区、地质公园、森林公园、湿地公园等自然公园的重要功能区，植物园、水利风景区；野生植物原生境保护区（点）、野生动物重要栖息地，国有天然林分布区，重要湿地；全国重点文物保护单位、省级文物保护单位，核心保护区、国土空间规划确定的城镇开发边界范围除外（重点保护区示意图见附件</w:t>
      </w:r>
      <w:r>
        <w:rPr>
          <w:rFonts w:ascii="Times New Roman" w:hAnsi="Times New Roman" w:eastAsia="仿宋_GB2312"/>
          <w:color w:val="000000"/>
          <w:sz w:val="32"/>
          <w:szCs w:val="32"/>
        </w:rPr>
        <w:t>4</w:t>
      </w:r>
      <w:r>
        <w:rPr>
          <w:rFonts w:hint="eastAsia" w:ascii="Times New Roman" w:hAnsi="Times New Roman" w:eastAsia="仿宋_GB2312"/>
          <w:color w:val="000000"/>
          <w:sz w:val="32"/>
          <w:szCs w:val="32"/>
        </w:rPr>
        <w:t>）。重点保护区涉及</w:t>
      </w:r>
      <w:r>
        <w:rPr>
          <w:rFonts w:ascii="Times New Roman" w:hAnsi="Times New Roman" w:eastAsia="仿宋_GB2312"/>
          <w:color w:val="000000"/>
          <w:sz w:val="32"/>
          <w:szCs w:val="32"/>
        </w:rPr>
        <w:t>15</w:t>
      </w:r>
      <w:r>
        <w:rPr>
          <w:rFonts w:hint="eastAsia" w:ascii="Times New Roman" w:hAnsi="Times New Roman" w:eastAsia="仿宋_GB2312"/>
          <w:color w:val="000000"/>
          <w:sz w:val="32"/>
          <w:szCs w:val="32"/>
        </w:rPr>
        <w:t>个镇（办）（除景村镇外）</w:t>
      </w:r>
      <w:r>
        <w:rPr>
          <w:rFonts w:ascii="Times New Roman" w:hAnsi="Times New Roman" w:eastAsia="仿宋_GB2312"/>
          <w:color w:val="000000"/>
          <w:sz w:val="32"/>
          <w:szCs w:val="32"/>
        </w:rPr>
        <w:t>76</w:t>
      </w:r>
      <w:r>
        <w:rPr>
          <w:rFonts w:hint="eastAsia" w:ascii="Times New Roman" w:hAnsi="Times New Roman" w:eastAsia="仿宋_GB2312"/>
          <w:color w:val="000000"/>
          <w:sz w:val="32"/>
          <w:szCs w:val="32"/>
        </w:rPr>
        <w:t>个行政村的部分村民小组，常住人口</w:t>
      </w:r>
      <w:r>
        <w:rPr>
          <w:rFonts w:ascii="Times New Roman" w:hAnsi="Times New Roman" w:eastAsia="仿宋_GB2312"/>
          <w:color w:val="000000"/>
          <w:sz w:val="32"/>
          <w:szCs w:val="32"/>
        </w:rPr>
        <w:t>1</w:t>
      </w:r>
      <w:r>
        <w:rPr>
          <w:rFonts w:hint="eastAsia" w:ascii="Times New Roman" w:hAnsi="Times New Roman" w:eastAsia="仿宋_GB2312"/>
          <w:color w:val="000000"/>
          <w:sz w:val="32"/>
          <w:szCs w:val="32"/>
        </w:rPr>
        <w:t>万左右，面积约</w:t>
      </w:r>
      <w:r>
        <w:rPr>
          <w:rFonts w:ascii="Times New Roman" w:hAnsi="Times New Roman" w:eastAsia="仿宋_GB2312"/>
          <w:color w:val="000000"/>
          <w:sz w:val="32"/>
          <w:szCs w:val="32"/>
        </w:rPr>
        <w:t>657.2</w:t>
      </w:r>
      <w:r>
        <w:rPr>
          <w:rFonts w:hint="eastAsia" w:ascii="Times New Roman" w:hAnsi="Times New Roman" w:eastAsia="仿宋_GB2312"/>
          <w:color w:val="000000"/>
          <w:sz w:val="32"/>
          <w:szCs w:val="32"/>
        </w:rPr>
        <w:t>平方公里，约占全县保护区范围的</w:t>
      </w:r>
      <w:r>
        <w:rPr>
          <w:rFonts w:ascii="Times New Roman" w:hAnsi="Times New Roman" w:eastAsia="仿宋_GB2312"/>
          <w:color w:val="000000"/>
          <w:sz w:val="32"/>
          <w:szCs w:val="32"/>
        </w:rPr>
        <w:t>23.21%</w:t>
      </w:r>
      <w:r>
        <w:rPr>
          <w:rFonts w:hint="eastAsia" w:ascii="Times New Roman" w:hAnsi="Times New Roman" w:eastAsia="仿宋_GB2312"/>
          <w:color w:val="000000"/>
          <w:sz w:val="32"/>
          <w:szCs w:val="32"/>
        </w:rPr>
        <w:t>。</w:t>
      </w:r>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保护要求。</w:t>
      </w:r>
      <w:r>
        <w:rPr>
          <w:rFonts w:hint="eastAsia" w:ascii="Times New Roman" w:hAnsi="Times New Roman" w:eastAsia="仿宋_GB2312"/>
          <w:color w:val="000000"/>
          <w:sz w:val="32"/>
          <w:szCs w:val="32"/>
        </w:rPr>
        <w:t>重点保护区内生物多样性集中，原始森林和野生珍稀动植物资源丰富，是自然保护区、森林公园、风景名胜区等各类保护区集中区，也是国家南水北调中线工程汉丹江流域和黄河流域的主要水源涵养区，自然生态环境容易遭受破坏，对于秦岭科学保护和合理利用十分关键。除《条例》另有规定外，重点保护区不得进行与其保护功能不相符的开发建设活动，依法禁止房地产开发，禁止新建水电站，禁止新建、扩建、异地重建宗教活动场所，禁止勘探、开发矿产资源和开山采石，严格执行重点保护区产业准入清单制度。法律、行政法规对重点保护区管理有相关规定的，依照相关规定执行。</w:t>
      </w:r>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重点任务。</w:t>
      </w:r>
      <w:r>
        <w:rPr>
          <w:rFonts w:hint="eastAsia" w:ascii="Times New Roman" w:hAnsi="Times New Roman" w:eastAsia="仿宋_GB2312"/>
          <w:color w:val="000000"/>
          <w:spacing w:val="-6"/>
          <w:sz w:val="32"/>
          <w:szCs w:val="32"/>
        </w:rPr>
        <w:t>进一步提升对自然生态系统和重要物种栖息地的保护，维护区域生态平衡，实现野生动植物的良性循环和永续利用。落实退耕还林、封山育林、退耕禁牧等措施，增强水土保持能力。推进天然林保护、湿地保护、长防林建设，提高水源涵养功能。依法严厉打击乱捕乱猎等违法犯罪活动。依法组织矿业权等限期退出，加大生态环境修复治理力度。依法组织水电站限期整治或者退出</w:t>
      </w:r>
      <w:r>
        <w:rPr>
          <w:rFonts w:hint="eastAsia" w:ascii="Times New Roman" w:hAnsi="Times New Roman" w:eastAsia="仿宋_GB2312"/>
          <w:color w:val="000000"/>
          <w:spacing w:val="-11"/>
          <w:sz w:val="32"/>
          <w:szCs w:val="32"/>
        </w:rPr>
        <w:t>、拆除，恢复生态。编制实用性村庄规划，推广太阳能等清洁能源应用，统一规划建设生活垃圾、污水等处理设施。</w:t>
      </w:r>
    </w:p>
    <w:p>
      <w:pPr>
        <w:spacing w:line="560" w:lineRule="exact"/>
        <w:ind w:firstLine="640" w:firstLineChars="200"/>
        <w:rPr>
          <w:rFonts w:ascii="Times New Roman" w:hAnsi="Times New Roman" w:eastAsia="仿宋_GB2312"/>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48" w:name="_Toc10613"/>
      <w:bookmarkStart w:id="49" w:name="_Toc1548"/>
      <w:bookmarkStart w:id="50" w:name="_Toc22589"/>
      <w:r>
        <w:rPr>
          <w:rFonts w:hint="eastAsia" w:ascii="Times New Roman" w:hAnsi="Times New Roman" w:eastAsia="楷体_GB2312"/>
          <w:b/>
          <w:bCs/>
          <w:color w:val="000000"/>
          <w:sz w:val="32"/>
          <w:szCs w:val="32"/>
        </w:rPr>
        <w:t>第三节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一般保护区</w:t>
      </w:r>
      <w:bookmarkEnd w:id="48"/>
      <w:bookmarkEnd w:id="49"/>
      <w:bookmarkEnd w:id="50"/>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区域范围。</w:t>
      </w:r>
      <w:r>
        <w:rPr>
          <w:rFonts w:hint="eastAsia" w:ascii="Times New Roman" w:hAnsi="Times New Roman" w:eastAsia="仿宋_GB2312"/>
          <w:color w:val="000000"/>
          <w:sz w:val="32"/>
          <w:szCs w:val="32"/>
        </w:rPr>
        <w:t>除核心保护区、重点保护区以外的区域，为一般保护区。一般保护区涉及全县</w:t>
      </w:r>
      <w:r>
        <w:rPr>
          <w:rFonts w:ascii="Times New Roman" w:hAnsi="Times New Roman" w:eastAsia="仿宋_GB2312"/>
          <w:color w:val="000000"/>
          <w:sz w:val="32"/>
          <w:szCs w:val="32"/>
        </w:rPr>
        <w:t>16</w:t>
      </w:r>
      <w:r>
        <w:rPr>
          <w:rFonts w:hint="eastAsia" w:ascii="Times New Roman" w:hAnsi="Times New Roman" w:eastAsia="仿宋_GB2312"/>
          <w:color w:val="000000"/>
          <w:sz w:val="32"/>
          <w:szCs w:val="32"/>
        </w:rPr>
        <w:t>个镇（办），常住人口</w:t>
      </w:r>
      <w:r>
        <w:rPr>
          <w:rFonts w:ascii="Times New Roman" w:hAnsi="Times New Roman" w:eastAsia="仿宋_GB2312"/>
          <w:color w:val="000000"/>
          <w:sz w:val="32"/>
          <w:szCs w:val="32"/>
        </w:rPr>
        <w:t>45</w:t>
      </w:r>
      <w:r>
        <w:rPr>
          <w:rFonts w:hint="eastAsia" w:ascii="Times New Roman" w:hAnsi="Times New Roman" w:eastAsia="仿宋_GB2312"/>
          <w:color w:val="000000"/>
          <w:sz w:val="32"/>
          <w:szCs w:val="32"/>
        </w:rPr>
        <w:t>万左右，面积约</w:t>
      </w:r>
      <w:r>
        <w:rPr>
          <w:rFonts w:ascii="Times New Roman" w:hAnsi="Times New Roman" w:eastAsia="仿宋_GB2312"/>
          <w:color w:val="000000"/>
          <w:sz w:val="32"/>
          <w:szCs w:val="32"/>
        </w:rPr>
        <w:t>2112.3</w:t>
      </w:r>
      <w:r>
        <w:rPr>
          <w:rFonts w:hint="eastAsia" w:ascii="Times New Roman" w:hAnsi="Times New Roman" w:eastAsia="仿宋_GB2312"/>
          <w:color w:val="000000"/>
          <w:sz w:val="32"/>
          <w:szCs w:val="32"/>
        </w:rPr>
        <w:t>平方公里，约占全县保护区范围的</w:t>
      </w:r>
      <w:r>
        <w:rPr>
          <w:rFonts w:ascii="Times New Roman" w:hAnsi="Times New Roman" w:eastAsia="仿宋_GB2312"/>
          <w:color w:val="000000"/>
          <w:sz w:val="32"/>
          <w:szCs w:val="32"/>
        </w:rPr>
        <w:t>74.58%</w:t>
      </w:r>
      <w:r>
        <w:rPr>
          <w:rFonts w:hint="eastAsia" w:ascii="Times New Roman" w:hAnsi="Times New Roman" w:eastAsia="仿宋_GB2312"/>
          <w:color w:val="000000"/>
          <w:sz w:val="32"/>
          <w:szCs w:val="32"/>
        </w:rPr>
        <w:t>。</w:t>
      </w:r>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保护要求。</w:t>
      </w:r>
      <w:r>
        <w:rPr>
          <w:rFonts w:hint="eastAsia" w:ascii="Times New Roman" w:hAnsi="Times New Roman" w:eastAsia="仿宋_GB2312"/>
          <w:color w:val="000000"/>
          <w:sz w:val="32"/>
          <w:szCs w:val="32"/>
        </w:rPr>
        <w:t>一般保护区内自然地理条件相对较好，人口密集、交通发达、产业集中，具有一定的发展空间，是资源环境承载能力相对较强的地区，主要承担实现经济社会高质量发展、促进人与自然和谐共生的功能。区域内各类生产、生活和建设活动应当严格执行《条例》和相关法规、规划的规定，严格执行一般保护区产业准入清单制度。</w:t>
      </w:r>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重点任务。</w:t>
      </w:r>
      <w:r>
        <w:rPr>
          <w:rFonts w:hint="eastAsia" w:ascii="Times New Roman" w:hAnsi="Times New Roman" w:eastAsia="仿宋_GB2312"/>
          <w:color w:val="000000"/>
          <w:sz w:val="32"/>
          <w:szCs w:val="32"/>
        </w:rPr>
        <w:t>牢固树立</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共抓大保护、不搞大开发</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理念，持续推进生态破坏和环境污染的修复治理，稳步提高森林植被覆盖率，加快小流域综合治理，提高水源涵养能力。依法取得采矿许可证等相关审批手续的矿产资源开发企业，应当按照绿色矿山标准进行建设、生产，采用先进工艺技术和措施，提高资源综合利用率，减少对水体和生态环境的损害，实现废水、废气、重金属等污染物达标排放，固体废弃物按规定处理处置。淘汰高污染、高耗能、高排放落后产能，鼓励发展绿色循环经济，发展以生态旅游为重点的现代服务业，发展生态农业、有机农业，加快经济结构调整和产业优化升级。综合提升城乡给排水、公厕、道路、电网、污水垃圾处理、水源地保护等基础设施水平。提高地质灾害、气象灾害风险预警水平和崩塌、滑坡、泥石流、山洪等自然灾害的避险撤离能力。</w:t>
      </w:r>
    </w:p>
    <w:p>
      <w:pPr>
        <w:spacing w:line="560" w:lineRule="exact"/>
        <w:ind w:firstLine="640" w:firstLineChars="200"/>
        <w:rPr>
          <w:rFonts w:ascii="Times New Roman" w:hAnsi="Times New Roman" w:eastAsia="仿宋_GB2312"/>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51" w:name="_Toc9440"/>
      <w:bookmarkStart w:id="52" w:name="_Toc16935"/>
      <w:bookmarkStart w:id="53" w:name="_Toc5157"/>
      <w:r>
        <w:rPr>
          <w:rFonts w:hint="eastAsia" w:ascii="Times New Roman" w:hAnsi="Times New Roman" w:eastAsia="楷体_GB2312"/>
          <w:b/>
          <w:bCs/>
          <w:color w:val="000000"/>
          <w:sz w:val="32"/>
          <w:szCs w:val="32"/>
        </w:rPr>
        <w:t>第四节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勘界立标</w:t>
      </w:r>
      <w:bookmarkEnd w:id="51"/>
      <w:bookmarkEnd w:id="52"/>
      <w:bookmarkEnd w:id="53"/>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按照省秦岭生态环境保护委员会制定公布的秦岭生态环境保护标志、标牌、界桩设置标准和办法，设置核心保护区、重点保护区和一般保护区的保护标志、标牌、界桩，做好自然保护区、森林公园、重要湿地、天然林分布区、水利风景区、饮用水水源保护区等各类保护单元的勘界立标。到</w:t>
      </w:r>
      <w:r>
        <w:rPr>
          <w:rFonts w:ascii="Times New Roman" w:hAnsi="Times New Roman" w:eastAsia="仿宋_GB2312"/>
          <w:color w:val="000000"/>
          <w:sz w:val="32"/>
          <w:szCs w:val="32"/>
        </w:rPr>
        <w:t>2025</w:t>
      </w:r>
      <w:r>
        <w:rPr>
          <w:rFonts w:hint="eastAsia" w:ascii="Times New Roman" w:hAnsi="Times New Roman" w:eastAsia="仿宋_GB2312"/>
          <w:color w:val="000000"/>
          <w:sz w:val="32"/>
          <w:szCs w:val="32"/>
        </w:rPr>
        <w:t>年，根据自然保护地整合归并优化成果，完成核心保护区、重点保护区和一般保护区勘界立标。依法依规对自然保护地范围和区划实施调整时，核</w:t>
      </w:r>
      <w:r>
        <w:rPr>
          <w:rFonts w:hint="eastAsia" w:ascii="Times New Roman" w:hAnsi="Times New Roman" w:eastAsia="仿宋_GB2312"/>
          <w:color w:val="000000"/>
          <w:spacing w:val="-8"/>
          <w:sz w:val="32"/>
          <w:szCs w:val="32"/>
        </w:rPr>
        <w:t>心保护区、重点保护区、一般保护区范围与勘界立标也做相应调</w:t>
      </w:r>
      <w:r>
        <w:rPr>
          <w:rFonts w:hint="eastAsia" w:ascii="Times New Roman" w:hAnsi="Times New Roman" w:eastAsia="仿宋_GB2312"/>
          <w:color w:val="000000"/>
          <w:sz w:val="32"/>
          <w:szCs w:val="32"/>
        </w:rPr>
        <w:t>整。</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结合河流、植被等自然地理边界，村庄、耕地等经济社会边界，确定核心保护区、重点保护区、一般保护区空间实体边界，与生态保护红线、永久基本农田、城镇开发边界和文物保护边界等做好衔接，保持生态系统、经济社会基本单元完整性，建立秦岭范围矢量数据库。</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界桩在核心保护区、重点保护区、一般保护区边界线设置，参照边界地形地貌因地制宜布设，在重要转向点选择性设置，在自然地形不明显、人为活动较多的地段适当加密。标牌在路口、村庄周边及其他人为活动集中的地点等重要地段（部位）设立。</w:t>
      </w:r>
    </w:p>
    <w:p>
      <w:pPr>
        <w:spacing w:line="560" w:lineRule="exact"/>
        <w:jc w:val="center"/>
        <w:rPr>
          <w:rFonts w:ascii="Times New Roman" w:hAnsi="Times New Roman" w:eastAsia="楷体_GB2312"/>
          <w:b/>
          <w:bCs/>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54" w:name="_Toc11336"/>
      <w:bookmarkStart w:id="55" w:name="_Toc21233"/>
      <w:bookmarkStart w:id="56" w:name="_Toc28834"/>
      <w:r>
        <w:rPr>
          <w:rFonts w:hint="eastAsia" w:ascii="Times New Roman" w:hAnsi="Times New Roman" w:eastAsia="楷体_GB2312"/>
          <w:b/>
          <w:bCs/>
          <w:color w:val="000000"/>
          <w:sz w:val="32"/>
          <w:szCs w:val="32"/>
        </w:rPr>
        <w:t>第五节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国土空间管控</w:t>
      </w:r>
      <w:bookmarkEnd w:id="54"/>
      <w:bookmarkEnd w:id="55"/>
      <w:bookmarkEnd w:id="56"/>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发挥国土空间规划在秦岭生态环境保护中的基础性作用，按照中央办公厅、国务院办公厅《关于在国土空间规划中统筹划定落实三条控制线的指导意见》要求，开展资源环境承载能力评价和国土空间开发适宜性评价，确定生态空间、农业空间、城镇空间总体格局，划定落实生态保护红线、永久基本农田、城镇开发边界等空间管控边界，与秦岭核心保护区域、重点保护区范围有效衔接。</w:t>
      </w:r>
    </w:p>
    <w:p>
      <w:pPr>
        <w:spacing w:line="560" w:lineRule="exact"/>
        <w:ind w:firstLine="643" w:firstLineChars="200"/>
        <w:rPr>
          <w:rFonts w:ascii="Times New Roman" w:hAnsi="Times New Roman" w:eastAsia="仿宋_GB2312"/>
          <w:color w:val="000000"/>
          <w:sz w:val="32"/>
          <w:szCs w:val="32"/>
        </w:rPr>
      </w:pPr>
      <w:r>
        <w:rPr>
          <w:rFonts w:ascii="Times New Roman" w:hAnsi="Times New Roman" w:eastAsia="楷体_GB2312"/>
          <w:b/>
          <w:bCs/>
          <w:color w:val="000000"/>
          <w:sz w:val="32"/>
          <w:szCs w:val="32"/>
        </w:rPr>
        <w:t>——</w:t>
      </w:r>
      <w:r>
        <w:rPr>
          <w:rFonts w:hint="eastAsia" w:ascii="Times New Roman" w:hAnsi="Times New Roman" w:eastAsia="楷体_GB2312"/>
          <w:b/>
          <w:bCs/>
          <w:color w:val="000000"/>
          <w:sz w:val="32"/>
          <w:szCs w:val="32"/>
        </w:rPr>
        <w:t>划定并严守生态保护红线。</w:t>
      </w:r>
      <w:r>
        <w:rPr>
          <w:rFonts w:hint="eastAsia" w:ascii="Times New Roman" w:hAnsi="Times New Roman" w:eastAsia="仿宋_GB2312"/>
          <w:color w:val="000000"/>
          <w:sz w:val="32"/>
          <w:szCs w:val="32"/>
        </w:rPr>
        <w:t>生态保护红线是生态环境安全的底线。秦岭范围分区保护规定与生态保护红线有关规定不一致的，按照从严管理的原则执行。</w:t>
      </w:r>
    </w:p>
    <w:p>
      <w:pPr>
        <w:spacing w:line="560" w:lineRule="exact"/>
        <w:ind w:firstLine="643" w:firstLineChars="200"/>
        <w:rPr>
          <w:rFonts w:ascii="Times New Roman" w:hAnsi="Times New Roman" w:eastAsia="仿宋_GB2312"/>
          <w:color w:val="000000"/>
          <w:sz w:val="32"/>
          <w:szCs w:val="32"/>
        </w:rPr>
      </w:pPr>
      <w:r>
        <w:rPr>
          <w:rFonts w:ascii="Times New Roman" w:hAnsi="Times New Roman" w:eastAsia="楷体_GB2312"/>
          <w:b/>
          <w:bCs/>
          <w:color w:val="000000"/>
          <w:sz w:val="32"/>
          <w:szCs w:val="32"/>
        </w:rPr>
        <w:t>——</w:t>
      </w:r>
      <w:r>
        <w:rPr>
          <w:rFonts w:hint="eastAsia" w:ascii="Times New Roman" w:hAnsi="Times New Roman" w:eastAsia="楷体_GB2312"/>
          <w:b/>
          <w:bCs/>
          <w:color w:val="000000"/>
          <w:sz w:val="32"/>
          <w:szCs w:val="32"/>
        </w:rPr>
        <w:t>从严管控城镇开发边界。</w:t>
      </w:r>
      <w:r>
        <w:rPr>
          <w:rFonts w:hint="eastAsia" w:ascii="Times New Roman" w:hAnsi="Times New Roman" w:eastAsia="仿宋_GB2312"/>
          <w:color w:val="000000"/>
          <w:sz w:val="32"/>
          <w:szCs w:val="32"/>
        </w:rPr>
        <w:t>城镇开发边界是在一定时期内因城镇发展需要，可以集中进行城镇开发建设、以城镇功能为主的区域边界，涉及城市、建制镇以及各类开发区等。城镇开发边界内区域均属于一般保护区，依法依规划定城镇开发边界，防止无序蔓延。</w:t>
      </w:r>
    </w:p>
    <w:p>
      <w:pPr>
        <w:spacing w:line="560" w:lineRule="exact"/>
        <w:ind w:firstLine="643" w:firstLineChars="200"/>
        <w:rPr>
          <w:rFonts w:ascii="Times New Roman" w:hAnsi="Times New Roman" w:eastAsia="仿宋_GB2312"/>
          <w:color w:val="000000"/>
          <w:spacing w:val="-10"/>
          <w:sz w:val="32"/>
          <w:szCs w:val="32"/>
        </w:rPr>
      </w:pPr>
      <w:r>
        <w:rPr>
          <w:rFonts w:ascii="Times New Roman" w:hAnsi="Times New Roman" w:eastAsia="楷体_GB2312"/>
          <w:b/>
          <w:bCs/>
          <w:color w:val="000000"/>
          <w:sz w:val="32"/>
          <w:szCs w:val="32"/>
        </w:rPr>
        <w:t>——</w:t>
      </w:r>
      <w:r>
        <w:rPr>
          <w:rFonts w:hint="eastAsia" w:ascii="Times New Roman" w:hAnsi="Times New Roman" w:eastAsia="楷体_GB2312"/>
          <w:b/>
          <w:bCs/>
          <w:color w:val="000000"/>
          <w:sz w:val="32"/>
          <w:szCs w:val="32"/>
        </w:rPr>
        <w:t>守住永久基本农田控制线。</w:t>
      </w:r>
      <w:r>
        <w:rPr>
          <w:rFonts w:hint="eastAsia" w:ascii="Times New Roman" w:hAnsi="Times New Roman" w:eastAsia="仿宋_GB2312"/>
          <w:color w:val="000000"/>
          <w:sz w:val="32"/>
          <w:szCs w:val="32"/>
        </w:rPr>
        <w:t>永</w:t>
      </w:r>
      <w:r>
        <w:rPr>
          <w:rFonts w:hint="eastAsia" w:ascii="Times New Roman" w:hAnsi="Times New Roman" w:eastAsia="仿宋_GB2312"/>
          <w:color w:val="000000"/>
          <w:spacing w:val="-10"/>
          <w:sz w:val="32"/>
          <w:szCs w:val="32"/>
        </w:rPr>
        <w:t>久基本农田是为保障国家粮食安全和重要农产品供给，实施永久特殊保护的耕地。依据耕地分布、耕地质量、粮食作物种植、土壤污染等现状，在严守耕地红线的基础上，按照一定比例，将达到质量要求的耕地依法划入。</w:t>
      </w:r>
    </w:p>
    <w:p>
      <w:pPr>
        <w:spacing w:line="560" w:lineRule="exact"/>
        <w:ind w:firstLine="640" w:firstLineChars="200"/>
        <w:rPr>
          <w:rFonts w:ascii="Times New Roman" w:hAnsi="Times New Roman" w:eastAsia="仿宋_GB2312"/>
          <w:color w:val="000000"/>
          <w:sz w:val="32"/>
          <w:szCs w:val="32"/>
        </w:rPr>
      </w:pPr>
    </w:p>
    <w:p>
      <w:pPr>
        <w:spacing w:line="560" w:lineRule="exact"/>
        <w:jc w:val="center"/>
        <w:outlineLvl w:val="0"/>
        <w:rPr>
          <w:rFonts w:ascii="Times New Roman" w:hAnsi="Times New Roman" w:eastAsia="黑体"/>
          <w:color w:val="000000"/>
          <w:sz w:val="32"/>
          <w:szCs w:val="32"/>
        </w:rPr>
      </w:pPr>
      <w:bookmarkStart w:id="57" w:name="_Toc2496"/>
      <w:bookmarkStart w:id="58" w:name="_Toc21640"/>
      <w:bookmarkStart w:id="59" w:name="_Toc5928"/>
      <w:r>
        <w:rPr>
          <w:rFonts w:hint="eastAsia" w:ascii="Times New Roman" w:hAnsi="Times New Roman" w:eastAsia="黑体"/>
          <w:color w:val="000000"/>
          <w:sz w:val="32"/>
          <w:szCs w:val="32"/>
        </w:rPr>
        <w:t>第四章</w:t>
      </w:r>
      <w:r>
        <w:rPr>
          <w:rFonts w:ascii="Times New Roman" w:hAnsi="Times New Roman" w:eastAsia="黑体"/>
          <w:color w:val="000000"/>
          <w:sz w:val="32"/>
          <w:szCs w:val="32"/>
        </w:rPr>
        <w:t xml:space="preserve">  </w:t>
      </w:r>
      <w:r>
        <w:rPr>
          <w:rFonts w:hint="eastAsia" w:ascii="Times New Roman" w:hAnsi="Times New Roman" w:eastAsia="黑体"/>
          <w:color w:val="000000"/>
          <w:sz w:val="32"/>
          <w:szCs w:val="32"/>
        </w:rPr>
        <w:t>突出植被保护</w:t>
      </w:r>
      <w:bookmarkEnd w:id="57"/>
      <w:bookmarkEnd w:id="58"/>
      <w:bookmarkEnd w:id="59"/>
    </w:p>
    <w:p>
      <w:pPr>
        <w:spacing w:line="560" w:lineRule="exact"/>
        <w:ind w:firstLine="640" w:firstLineChars="200"/>
        <w:rPr>
          <w:rFonts w:ascii="Times New Roman" w:hAnsi="Times New Roman" w:eastAsia="仿宋_GB2312"/>
          <w:color w:val="000000"/>
          <w:sz w:val="32"/>
          <w:szCs w:val="32"/>
        </w:rPr>
      </w:pP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以保护和恢复森林植被为核心，加强山水林田湖草系统保护和自然恢复，采取封育保护、封山禁牧、退耕还林还草和植树造林、水土保持、河湖整治、人工影响天气等措施，实施天然林保护、长江防护林、退耕还林、水土保持等生态工程建设，强化森林防火体系和林业有害生物防治体系建设，改善秦岭的生态环境。到</w:t>
      </w:r>
      <w:r>
        <w:rPr>
          <w:rFonts w:ascii="Times New Roman" w:hAnsi="Times New Roman" w:eastAsia="仿宋_GB2312"/>
          <w:color w:val="000000"/>
          <w:sz w:val="32"/>
          <w:szCs w:val="32"/>
        </w:rPr>
        <w:t>2025</w:t>
      </w:r>
      <w:r>
        <w:rPr>
          <w:rFonts w:hint="eastAsia" w:ascii="Times New Roman" w:hAnsi="Times New Roman" w:eastAsia="仿宋_GB2312"/>
          <w:color w:val="000000"/>
          <w:sz w:val="32"/>
          <w:szCs w:val="32"/>
        </w:rPr>
        <w:t>年，森林覆盖率达到</w:t>
      </w:r>
      <w:r>
        <w:rPr>
          <w:rFonts w:ascii="Times New Roman" w:hAnsi="Times New Roman" w:eastAsia="仿宋_GB2312"/>
          <w:color w:val="000000"/>
          <w:sz w:val="32"/>
          <w:szCs w:val="32"/>
        </w:rPr>
        <w:t>70%</w:t>
      </w:r>
      <w:r>
        <w:rPr>
          <w:rFonts w:hint="eastAsia" w:ascii="Times New Roman" w:hAnsi="Times New Roman" w:eastAsia="仿宋_GB2312"/>
          <w:color w:val="000000"/>
          <w:sz w:val="32"/>
          <w:szCs w:val="32"/>
        </w:rPr>
        <w:t>以上，森林保护面积达到</w:t>
      </w:r>
      <w:r>
        <w:rPr>
          <w:rFonts w:ascii="Times New Roman" w:hAnsi="Times New Roman" w:eastAsia="仿宋_GB2312"/>
          <w:color w:val="000000"/>
          <w:sz w:val="32"/>
          <w:szCs w:val="32"/>
        </w:rPr>
        <w:t>95%</w:t>
      </w:r>
      <w:r>
        <w:rPr>
          <w:rFonts w:hint="eastAsia" w:ascii="Times New Roman" w:hAnsi="Times New Roman" w:eastAsia="仿宋_GB2312"/>
          <w:color w:val="000000"/>
          <w:sz w:val="32"/>
          <w:szCs w:val="32"/>
        </w:rPr>
        <w:t>以上，林分质量稳步提高，构筑以天然林保护为核心的绿色生态安全屏障。</w:t>
      </w:r>
    </w:p>
    <w:p>
      <w:pPr>
        <w:spacing w:line="560" w:lineRule="exact"/>
        <w:ind w:firstLine="640" w:firstLineChars="200"/>
        <w:rPr>
          <w:rFonts w:ascii="Times New Roman" w:hAnsi="Times New Roman" w:eastAsia="仿宋_GB2312"/>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60" w:name="_Toc31394"/>
      <w:bookmarkStart w:id="61" w:name="_Toc8702"/>
      <w:bookmarkStart w:id="62" w:name="_Toc27520"/>
      <w:r>
        <w:rPr>
          <w:rFonts w:hint="eastAsia" w:ascii="Times New Roman" w:hAnsi="Times New Roman" w:eastAsia="楷体_GB2312"/>
          <w:b/>
          <w:bCs/>
          <w:color w:val="000000"/>
          <w:sz w:val="32"/>
          <w:szCs w:val="32"/>
        </w:rPr>
        <w:t>第一节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封山育林与禁牧</w:t>
      </w:r>
      <w:bookmarkEnd w:id="60"/>
      <w:bookmarkEnd w:id="61"/>
      <w:bookmarkEnd w:id="62"/>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以保护植物自然繁殖生长为主要手段，辅以人工手段，加大对具有天然下种或萌蘖能力的疏林地、无立木林地、宜林地、灌丛地的管制力度，恢复自然生态系统。</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封山育林、禁牧范围包括列入国家天然林保护、退耕还林、水土保持等重点生态工程范围内的公益林，坡度在</w:t>
      </w:r>
      <w:r>
        <w:rPr>
          <w:rFonts w:ascii="Times New Roman" w:hAnsi="Times New Roman" w:eastAsia="仿宋_GB2312"/>
          <w:color w:val="000000"/>
          <w:sz w:val="32"/>
          <w:szCs w:val="32"/>
        </w:rPr>
        <w:t>46</w:t>
      </w:r>
      <w:r>
        <w:rPr>
          <w:rFonts w:hint="eastAsia" w:ascii="Times New Roman" w:hAnsi="Times New Roman" w:eastAsia="仿宋_GB2312"/>
          <w:color w:val="000000"/>
          <w:sz w:val="32"/>
          <w:szCs w:val="32"/>
        </w:rPr>
        <w:t>度以上的有林地，秦岭山系主梁两侧各</w:t>
      </w:r>
      <w:r>
        <w:rPr>
          <w:rFonts w:ascii="Times New Roman" w:hAnsi="Times New Roman" w:eastAsia="仿宋_GB2312"/>
          <w:color w:val="000000"/>
          <w:sz w:val="32"/>
          <w:szCs w:val="32"/>
        </w:rPr>
        <w:t>1000</w:t>
      </w:r>
      <w:r>
        <w:rPr>
          <w:rFonts w:hint="eastAsia" w:ascii="Times New Roman" w:hAnsi="Times New Roman" w:eastAsia="仿宋_GB2312"/>
          <w:color w:val="000000"/>
          <w:sz w:val="32"/>
          <w:szCs w:val="32"/>
        </w:rPr>
        <w:t>米及其主要支脉两侧各</w:t>
      </w:r>
      <w:r>
        <w:rPr>
          <w:rFonts w:ascii="Times New Roman" w:hAnsi="Times New Roman" w:eastAsia="仿宋_GB2312"/>
          <w:color w:val="000000"/>
          <w:sz w:val="32"/>
          <w:szCs w:val="32"/>
        </w:rPr>
        <w:t>500</w:t>
      </w:r>
      <w:r>
        <w:rPr>
          <w:rFonts w:hint="eastAsia" w:ascii="Times New Roman" w:hAnsi="Times New Roman" w:eastAsia="仿宋_GB2312"/>
          <w:color w:val="000000"/>
          <w:sz w:val="32"/>
          <w:szCs w:val="32"/>
        </w:rPr>
        <w:t>米以内的有林地，郁闭度＜</w:t>
      </w:r>
      <w:r>
        <w:rPr>
          <w:rFonts w:ascii="Times New Roman" w:hAnsi="Times New Roman" w:eastAsia="仿宋_GB2312"/>
          <w:color w:val="000000"/>
          <w:sz w:val="32"/>
          <w:szCs w:val="32"/>
        </w:rPr>
        <w:t>0.4</w:t>
      </w:r>
      <w:r>
        <w:rPr>
          <w:rFonts w:hint="eastAsia" w:ascii="Times New Roman" w:hAnsi="Times New Roman" w:eastAsia="仿宋_GB2312"/>
          <w:color w:val="000000"/>
          <w:sz w:val="32"/>
          <w:szCs w:val="32"/>
        </w:rPr>
        <w:t>的低质低效林地，分布有重点保护树种的地块以及人工造林难度大、且有一定数量母树分布的无林地。封山育林、禁牧区应明确区域四至、封育期限，设置界桩、围栏和标牌，并向社会公布。加强封育管护，配备专业护林人员，对管护困难的封育区要在山口、沟口及交通要塞设立卡哨、围栏。</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严禁对列入国家天然林保护工程范围内的天然林进行商业性采伐，禁止采伐坡度在</w:t>
      </w:r>
      <w:r>
        <w:rPr>
          <w:rFonts w:ascii="Times New Roman" w:hAnsi="Times New Roman" w:eastAsia="仿宋_GB2312"/>
          <w:color w:val="000000"/>
          <w:sz w:val="32"/>
          <w:szCs w:val="32"/>
        </w:rPr>
        <w:t>46</w:t>
      </w:r>
      <w:r>
        <w:rPr>
          <w:rFonts w:hint="eastAsia" w:ascii="Times New Roman" w:hAnsi="Times New Roman" w:eastAsia="仿宋_GB2312"/>
          <w:color w:val="000000"/>
          <w:sz w:val="32"/>
          <w:szCs w:val="32"/>
        </w:rPr>
        <w:t>度以上、秦岭山系主梁两侧各</w:t>
      </w:r>
      <w:r>
        <w:rPr>
          <w:rFonts w:ascii="Times New Roman" w:hAnsi="Times New Roman" w:eastAsia="仿宋_GB2312"/>
          <w:color w:val="000000"/>
          <w:sz w:val="32"/>
          <w:szCs w:val="32"/>
        </w:rPr>
        <w:t>1000</w:t>
      </w:r>
      <w:r>
        <w:rPr>
          <w:rFonts w:hint="eastAsia" w:ascii="Times New Roman" w:hAnsi="Times New Roman" w:eastAsia="仿宋_GB2312"/>
          <w:color w:val="000000"/>
          <w:sz w:val="32"/>
          <w:szCs w:val="32"/>
        </w:rPr>
        <w:t>米以内的森林，国家公园、自然保护区的林木禁止采伐，国家和省人民政府划定的公益林只能进行抚育和更新性质的采伐，因科学研究、林业有害生物防治、森林防火、抢险救灾需要采伐的除外。严格控制商品林采伐皆伐面积，伐育同步规划实施。封山育林、禁牧区域内禁止开垦、采石、采砂、取土，禁止采脂、割漆、剥皮、挖根及其他毁林行为，禁止放养牛、羊等食草动物，禁止损坏、擅自移动界桩、围栏和标牌，以及法律、法规禁止的其他行为。</w:t>
      </w:r>
    </w:p>
    <w:p>
      <w:pPr>
        <w:spacing w:line="560" w:lineRule="exact"/>
        <w:ind w:firstLine="640" w:firstLineChars="200"/>
        <w:rPr>
          <w:rFonts w:ascii="Times New Roman" w:hAnsi="Times New Roman" w:eastAsia="仿宋_GB2312"/>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63" w:name="_Toc6182"/>
      <w:bookmarkStart w:id="64" w:name="_Toc17472"/>
      <w:bookmarkStart w:id="65" w:name="_Toc24168"/>
      <w:r>
        <w:rPr>
          <w:rFonts w:hint="eastAsia" w:ascii="Times New Roman" w:hAnsi="Times New Roman" w:eastAsia="楷体_GB2312"/>
          <w:b/>
          <w:bCs/>
          <w:color w:val="000000"/>
          <w:sz w:val="32"/>
          <w:szCs w:val="32"/>
        </w:rPr>
        <w:t>第二节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营林造林</w:t>
      </w:r>
      <w:bookmarkEnd w:id="63"/>
      <w:bookmarkEnd w:id="64"/>
      <w:bookmarkEnd w:id="65"/>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提高造林技术标准，选用优质种苗，加强抚育管理，及时补植补造（播），提高造林成活率和保存率。对海拔</w:t>
      </w:r>
      <w:r>
        <w:rPr>
          <w:rFonts w:ascii="Times New Roman" w:hAnsi="Times New Roman" w:eastAsia="仿宋_GB2312"/>
          <w:color w:val="000000"/>
          <w:sz w:val="32"/>
          <w:szCs w:val="32"/>
        </w:rPr>
        <w:t>2000</w:t>
      </w:r>
      <w:r>
        <w:rPr>
          <w:rFonts w:hint="eastAsia" w:ascii="Times New Roman" w:hAnsi="Times New Roman" w:eastAsia="仿宋_GB2312"/>
          <w:color w:val="000000"/>
          <w:sz w:val="32"/>
          <w:szCs w:val="32"/>
        </w:rPr>
        <w:t>米以下宜林的疏林地、海拔</w:t>
      </w:r>
      <w:r>
        <w:rPr>
          <w:rFonts w:ascii="Times New Roman" w:hAnsi="Times New Roman" w:eastAsia="仿宋_GB2312"/>
          <w:color w:val="000000"/>
          <w:sz w:val="32"/>
          <w:szCs w:val="32"/>
        </w:rPr>
        <w:t>1800</w:t>
      </w:r>
      <w:r>
        <w:rPr>
          <w:rFonts w:hint="eastAsia" w:ascii="Times New Roman" w:hAnsi="Times New Roman" w:eastAsia="仿宋_GB2312"/>
          <w:color w:val="000000"/>
          <w:sz w:val="32"/>
          <w:szCs w:val="32"/>
        </w:rPr>
        <w:t>米以下集中连片且人工造林有难度的宜林荒山荒地和灌丛地、不具备封（育）条件的疏林地，实施飞播造林。在低山丘陵区域，通过实施天然林保护、退耕还林、长江防护林等林业重点工程，建设集中连片的人工林，实现</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见缝插绿</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。在生态破坏区、脆弱区、退化区和荒化区，坚持封、造、退、抚并举，分类实施生态修复。对区内郁闭度</w:t>
      </w:r>
      <w:r>
        <w:rPr>
          <w:rFonts w:ascii="Times New Roman" w:hAnsi="Times New Roman" w:eastAsia="仿宋_GB2312"/>
          <w:color w:val="000000"/>
          <w:sz w:val="32"/>
          <w:szCs w:val="32"/>
        </w:rPr>
        <w:t>≥0.</w:t>
      </w:r>
      <w:r>
        <w:rPr>
          <w:rFonts w:hint="eastAsia" w:ascii="Times New Roman" w:hAnsi="Times New Roman" w:eastAsia="仿宋_GB2312"/>
          <w:color w:val="000000"/>
          <w:sz w:val="32"/>
          <w:szCs w:val="32"/>
        </w:rPr>
        <w:t>４的有林地、未成林造林地（包括未成林封育地）、覆盖率较大的灌木林地，实施人工管护。通过人工林集约栽培、现有林改培、抚育及补植补造等措施，营造工业原料林、珍稀树种和大径材等优质高效多功能森林，逐步建设国家储备林。</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做好</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两岸三线四</w:t>
      </w:r>
      <w:r>
        <w:rPr>
          <w:rFonts w:hint="eastAsia" w:ascii="Times New Roman" w:hAnsi="Times New Roman" w:eastAsia="仿宋_GB2312"/>
          <w:color w:val="000000"/>
          <w:spacing w:val="-6"/>
          <w:sz w:val="32"/>
          <w:szCs w:val="32"/>
        </w:rPr>
        <w:t>区</w:t>
      </w:r>
      <w:r>
        <w:rPr>
          <w:rFonts w:ascii="Times New Roman" w:hAnsi="Times New Roman" w:eastAsia="仿宋_GB2312"/>
          <w:color w:val="000000"/>
          <w:spacing w:val="-6"/>
          <w:sz w:val="32"/>
          <w:szCs w:val="32"/>
        </w:rPr>
        <w:t>”</w:t>
      </w:r>
      <w:r>
        <w:rPr>
          <w:rFonts w:hint="eastAsia" w:ascii="Times New Roman" w:hAnsi="Times New Roman" w:eastAsia="仿宋_GB2312"/>
          <w:color w:val="000000"/>
          <w:spacing w:val="-6"/>
          <w:sz w:val="32"/>
          <w:szCs w:val="32"/>
        </w:rPr>
        <w:t>重点区域增绿工作，加快洛河流域两岸直观坡面绿化，建设护岸林，合理搭配树种，提升绿化美化效果。加快库区周围的荒山荒坡绿化，营造乔灌草结合的复层水源涵养林。加强高速路、国道、省道、县道、乡村道路交通沿线及产业园区绿化，推动树种合理配置，形成大面积的绿色生态保护空间和连接各个生态空间的绿色廊道。加大县城、集镇、重点景区周边绿化力度，绿化美化结合，提升绿化质量，创造优美生态宜居环境。创新全民义务植树尽责形式，创建森林景观特色的美丽乡村。</w:t>
      </w:r>
    </w:p>
    <w:p>
      <w:pPr>
        <w:spacing w:line="560" w:lineRule="exact"/>
        <w:ind w:firstLine="640" w:firstLineChars="200"/>
        <w:rPr>
          <w:rFonts w:ascii="Times New Roman" w:hAnsi="Times New Roman" w:eastAsia="仿宋_GB2312"/>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66" w:name="_Toc12084"/>
      <w:bookmarkStart w:id="67" w:name="_Toc24502"/>
      <w:bookmarkStart w:id="68" w:name="_Toc5241"/>
      <w:r>
        <w:rPr>
          <w:rFonts w:hint="eastAsia" w:ascii="Times New Roman" w:hAnsi="Times New Roman" w:eastAsia="楷体_GB2312"/>
          <w:b/>
          <w:bCs/>
          <w:color w:val="000000"/>
          <w:sz w:val="32"/>
          <w:szCs w:val="32"/>
        </w:rPr>
        <w:t>第三节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天然林保护</w:t>
      </w:r>
      <w:bookmarkEnd w:id="66"/>
      <w:bookmarkEnd w:id="67"/>
      <w:bookmarkEnd w:id="68"/>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坚持保护优先、科学修复的原则，不断提升秦岭林区天然林资源管护能力。加强管护站建设，提升管护科技水平，全面落实管护责任，开展人工造林、封山育林、飞播造林、森林抚育等措施，使秦岭天然林得到全面有效保护。到</w:t>
      </w:r>
      <w:r>
        <w:rPr>
          <w:rFonts w:ascii="Times New Roman" w:hAnsi="Times New Roman" w:eastAsia="仿宋_GB2312"/>
          <w:color w:val="000000"/>
          <w:sz w:val="32"/>
          <w:szCs w:val="32"/>
        </w:rPr>
        <w:t>2025</w:t>
      </w:r>
      <w:r>
        <w:rPr>
          <w:rFonts w:hint="eastAsia" w:ascii="Times New Roman" w:hAnsi="Times New Roman" w:eastAsia="仿宋_GB2312"/>
          <w:color w:val="000000"/>
          <w:sz w:val="32"/>
          <w:szCs w:val="32"/>
        </w:rPr>
        <w:t>年，健全天然林保护修复制度体系，林分质量逐步提高，森林资源稳步增加，森林生态功能不断增强。到</w:t>
      </w:r>
      <w:r>
        <w:rPr>
          <w:rFonts w:ascii="Times New Roman" w:hAnsi="Times New Roman" w:eastAsia="仿宋_GB2312"/>
          <w:color w:val="000000"/>
          <w:sz w:val="32"/>
          <w:szCs w:val="32"/>
        </w:rPr>
        <w:t>2035</w:t>
      </w:r>
      <w:r>
        <w:rPr>
          <w:rFonts w:hint="eastAsia" w:ascii="Times New Roman" w:hAnsi="Times New Roman" w:eastAsia="仿宋_GB2312"/>
          <w:color w:val="000000"/>
          <w:sz w:val="32"/>
          <w:szCs w:val="32"/>
        </w:rPr>
        <w:t>年，天然林面积保有量稳步提升，质量实现根本好转，天然林生态系统得到有效恢复、生物多样性得到科学保护、生态承载力显著提高，为美丽洛南目标实现提供有力支撑。</w:t>
      </w:r>
    </w:p>
    <w:p>
      <w:pPr>
        <w:spacing w:beforeLines="50" w:afterLines="50" w:line="606" w:lineRule="exact"/>
        <w:jc w:val="center"/>
        <w:rPr>
          <w:rFonts w:ascii="Times New Roman" w:hAnsi="Times New Roman" w:eastAsia="楷体_GB2312"/>
          <w:b/>
          <w:bCs/>
          <w:color w:val="000000"/>
          <w:sz w:val="28"/>
          <w:szCs w:val="28"/>
        </w:rPr>
      </w:pPr>
      <w:r>
        <w:rPr>
          <w:rFonts w:hint="eastAsia" w:ascii="Times New Roman" w:hAnsi="Times New Roman" w:eastAsia="楷体_GB2312"/>
          <w:b/>
          <w:bCs/>
          <w:color w:val="000000"/>
          <w:sz w:val="28"/>
          <w:szCs w:val="28"/>
        </w:rPr>
        <w:t>专栏</w:t>
      </w:r>
      <w:r>
        <w:rPr>
          <w:rFonts w:ascii="Times New Roman" w:hAnsi="Times New Roman" w:eastAsia="楷体_GB2312"/>
          <w:b/>
          <w:bCs/>
          <w:color w:val="000000"/>
          <w:sz w:val="28"/>
          <w:szCs w:val="28"/>
        </w:rPr>
        <w:t>4</w:t>
      </w:r>
      <w:r>
        <w:rPr>
          <w:rFonts w:hint="eastAsia" w:ascii="Times New Roman" w:hAnsi="Times New Roman" w:eastAsia="楷体_GB2312"/>
          <w:b/>
          <w:bCs/>
          <w:color w:val="000000"/>
          <w:sz w:val="28"/>
          <w:szCs w:val="28"/>
        </w:rPr>
        <w:t>　天然林保护重点工程</w:t>
      </w:r>
    </w:p>
    <w:tbl>
      <w:tblPr>
        <w:tblStyle w:val="7"/>
        <w:tblW w:w="8627"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8627"/>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595" w:hRule="atLeast"/>
          <w:jc w:val="center"/>
        </w:trPr>
        <w:tc>
          <w:tcPr>
            <w:tcW w:w="8627" w:type="dxa"/>
            <w:tcBorders>
              <w:top w:val="single" w:color="auto" w:sz="4" w:space="0"/>
              <w:bottom w:val="single" w:color="auto" w:sz="4" w:space="0"/>
            </w:tcBorders>
            <w:vAlign w:val="center"/>
          </w:tcPr>
          <w:p>
            <w:pPr>
              <w:spacing w:line="400" w:lineRule="exact"/>
              <w:ind w:firstLine="482" w:firstLineChars="200"/>
              <w:rPr>
                <w:rFonts w:ascii="Times New Roman" w:hAnsi="Times New Roman" w:eastAsia="仿宋_GB2312"/>
                <w:b/>
                <w:color w:val="000000"/>
                <w:sz w:val="24"/>
                <w:szCs w:val="32"/>
              </w:rPr>
            </w:pPr>
            <w:r>
              <w:rPr>
                <w:rFonts w:hint="eastAsia" w:ascii="Times New Roman" w:hAnsi="Times New Roman" w:eastAsia="仿宋_GB2312"/>
                <w:b/>
                <w:color w:val="000000"/>
                <w:sz w:val="24"/>
                <w:szCs w:val="32"/>
              </w:rPr>
              <w:t>完善天然林管护制度。</w:t>
            </w:r>
            <w:r>
              <w:rPr>
                <w:rFonts w:hint="eastAsia" w:ascii="Times New Roman" w:hAnsi="Times New Roman" w:eastAsia="仿宋_GB2312"/>
                <w:color w:val="000000"/>
                <w:sz w:val="24"/>
                <w:szCs w:val="32"/>
              </w:rPr>
              <w:t>禁止毁林开垦以及其他破坏天然林的行为，严格控制天然林地转为其他用途，除国防建设、国家重大工程项目建设特殊需要外，禁止占用重点区域的天然林地。</w:t>
            </w:r>
          </w:p>
          <w:p>
            <w:pPr>
              <w:spacing w:line="400" w:lineRule="exact"/>
              <w:ind w:firstLine="482" w:firstLineChars="200"/>
              <w:rPr>
                <w:rFonts w:ascii="Times New Roman" w:hAnsi="Times New Roman" w:eastAsia="仿宋_GB2312"/>
                <w:color w:val="000000"/>
                <w:sz w:val="24"/>
                <w:szCs w:val="32"/>
              </w:rPr>
            </w:pPr>
            <w:r>
              <w:rPr>
                <w:rFonts w:hint="eastAsia" w:ascii="Times New Roman" w:hAnsi="Times New Roman" w:eastAsia="仿宋_GB2312"/>
                <w:b/>
                <w:color w:val="000000"/>
                <w:sz w:val="24"/>
                <w:szCs w:val="32"/>
              </w:rPr>
              <w:t>提升天然林管护能力。</w:t>
            </w:r>
            <w:r>
              <w:rPr>
                <w:rFonts w:hint="eastAsia" w:ascii="Times New Roman" w:hAnsi="Times New Roman" w:eastAsia="仿宋_GB2312"/>
                <w:color w:val="000000"/>
                <w:sz w:val="24"/>
                <w:szCs w:val="32"/>
              </w:rPr>
              <w:t>健全天然林管护体系，完善天然林管护制度，加强国有林场和镇办管护站建设。加强天然林管护体系信息化建设，提高管护效率。</w:t>
            </w:r>
          </w:p>
          <w:p>
            <w:pPr>
              <w:spacing w:line="400" w:lineRule="exact"/>
              <w:ind w:firstLine="482" w:firstLineChars="200"/>
              <w:rPr>
                <w:rFonts w:ascii="Times New Roman" w:hAnsi="Times New Roman" w:eastAsia="仿宋_GB2312"/>
                <w:color w:val="000000"/>
                <w:spacing w:val="-2"/>
                <w:sz w:val="24"/>
              </w:rPr>
            </w:pPr>
            <w:r>
              <w:rPr>
                <w:rFonts w:hint="eastAsia" w:ascii="Times New Roman" w:hAnsi="Times New Roman" w:eastAsia="仿宋_GB2312"/>
                <w:b/>
                <w:color w:val="000000"/>
                <w:sz w:val="24"/>
                <w:szCs w:val="32"/>
              </w:rPr>
              <w:t>加强天然林修复。</w:t>
            </w:r>
            <w:r>
              <w:rPr>
                <w:rFonts w:hint="eastAsia" w:ascii="Times New Roman" w:hAnsi="Times New Roman" w:eastAsia="仿宋_GB2312"/>
                <w:color w:val="000000"/>
                <w:sz w:val="24"/>
                <w:szCs w:val="32"/>
              </w:rPr>
              <w:t>因地施策，合理开展人工造林、封山育林、飞播造林、森林抚育等措施，加快天然林修复，提升天然林质量。</w:t>
            </w:r>
          </w:p>
        </w:tc>
      </w:tr>
    </w:tbl>
    <w:p>
      <w:pPr>
        <w:spacing w:line="560" w:lineRule="exact"/>
        <w:jc w:val="center"/>
        <w:rPr>
          <w:rFonts w:ascii="Times New Roman" w:hAnsi="Times New Roman" w:eastAsia="楷体_GB2312"/>
          <w:b/>
          <w:bCs/>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69" w:name="_Toc6903"/>
      <w:bookmarkStart w:id="70" w:name="_Toc25414"/>
      <w:bookmarkStart w:id="71" w:name="_Toc26384"/>
      <w:r>
        <w:rPr>
          <w:rFonts w:hint="eastAsia" w:ascii="Times New Roman" w:hAnsi="Times New Roman" w:eastAsia="楷体_GB2312"/>
          <w:b/>
          <w:bCs/>
          <w:color w:val="000000"/>
          <w:sz w:val="32"/>
          <w:szCs w:val="32"/>
        </w:rPr>
        <w:t>第四节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退耕还林还草</w:t>
      </w:r>
      <w:bookmarkEnd w:id="69"/>
      <w:bookmarkEnd w:id="70"/>
      <w:bookmarkEnd w:id="71"/>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禁止在</w:t>
      </w:r>
      <w:r>
        <w:rPr>
          <w:rFonts w:ascii="Times New Roman" w:hAnsi="Times New Roman" w:eastAsia="仿宋_GB2312"/>
          <w:color w:val="000000"/>
          <w:sz w:val="32"/>
          <w:szCs w:val="32"/>
        </w:rPr>
        <w:t>25</w:t>
      </w:r>
      <w:r>
        <w:rPr>
          <w:rFonts w:hint="eastAsia" w:ascii="Times New Roman" w:hAnsi="Times New Roman" w:eastAsia="仿宋_GB2312"/>
          <w:color w:val="000000"/>
          <w:sz w:val="32"/>
          <w:szCs w:val="32"/>
        </w:rPr>
        <w:t>度以上陡坡地开垦种植农作物，鼓励在</w:t>
      </w:r>
      <w:r>
        <w:rPr>
          <w:rFonts w:ascii="Times New Roman" w:hAnsi="Times New Roman" w:eastAsia="仿宋_GB2312"/>
          <w:color w:val="000000"/>
          <w:sz w:val="32"/>
          <w:szCs w:val="32"/>
        </w:rPr>
        <w:t>25</w:t>
      </w:r>
      <w:r>
        <w:rPr>
          <w:rFonts w:hint="eastAsia" w:ascii="Times New Roman" w:hAnsi="Times New Roman" w:eastAsia="仿宋_GB2312"/>
          <w:color w:val="000000"/>
          <w:sz w:val="32"/>
          <w:szCs w:val="32"/>
        </w:rPr>
        <w:t>度以下的坡耕地实施退耕还林还草，形成新的生态空间，从源头上减少水土流失，保护植被，增加森林碳汇。退耕还林还草范围，由县政府划定并公告。</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已在禁垦的陡坡地范围内开垦种植农作物的，由县政府制定退耕还林还草计划，采用经济补贴、政策激励等措施，组织农村土地承包经营权人退耕还林还草，确保农民利益不受损。退耕还林还草后，由自然资源行政主管部门会同林业、农业农村行政主管部门依法对土地用途和权属登记予以变更。禁止在项目实施范围内复耕和从事滥采、乱挖等破坏地表植被的活动。</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坚持依法、自愿、有偿原则，支持采取转包、转让、互换、出租、入股等形式，将退耕还林还草地向专业大户、家庭林场、龙头企业、专业合作社、股份制林场等新型经营主体流转，发展适度规模经营。</w:t>
      </w:r>
    </w:p>
    <w:p>
      <w:pPr>
        <w:spacing w:line="560" w:lineRule="exact"/>
        <w:ind w:firstLine="640" w:firstLineChars="200"/>
        <w:rPr>
          <w:rFonts w:ascii="Times New Roman" w:hAnsi="Times New Roman" w:eastAsia="仿宋_GB2312"/>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72" w:name="_Toc27930"/>
      <w:bookmarkStart w:id="73" w:name="_Toc19217"/>
      <w:bookmarkStart w:id="74" w:name="_Toc15291"/>
      <w:r>
        <w:rPr>
          <w:rFonts w:hint="eastAsia" w:ascii="Times New Roman" w:hAnsi="Times New Roman" w:eastAsia="楷体_GB2312"/>
          <w:b/>
          <w:bCs/>
          <w:color w:val="000000"/>
          <w:sz w:val="32"/>
          <w:szCs w:val="32"/>
        </w:rPr>
        <w:t>第五节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森林防灭火</w:t>
      </w:r>
      <w:bookmarkEnd w:id="72"/>
      <w:bookmarkEnd w:id="73"/>
      <w:bookmarkEnd w:id="74"/>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落</w:t>
      </w:r>
      <w:r>
        <w:rPr>
          <w:rFonts w:hint="eastAsia" w:ascii="Times New Roman" w:hAnsi="Times New Roman" w:eastAsia="仿宋_GB2312"/>
          <w:color w:val="000000"/>
          <w:spacing w:val="-4"/>
          <w:sz w:val="32"/>
          <w:szCs w:val="32"/>
        </w:rPr>
        <w:t>实森林防灭火责任制，编制森林防灭火应急预案，划定责任区，落实防灭火责任，加强森林火情卫星遥感监测预警，完善森林火情卫星遥感监测系统建设，完善森林防灭火监测预警、应急、扑救、指挥、保障体系建设，应急管理、林业行政主管部门建立协作机制，做好森林防灭火工作。到</w:t>
      </w:r>
      <w:r>
        <w:rPr>
          <w:rFonts w:ascii="Times New Roman" w:hAnsi="Times New Roman" w:eastAsia="仿宋_GB2312"/>
          <w:color w:val="000000"/>
          <w:spacing w:val="-4"/>
          <w:sz w:val="32"/>
          <w:szCs w:val="32"/>
        </w:rPr>
        <w:t>2025</w:t>
      </w:r>
      <w:r>
        <w:rPr>
          <w:rFonts w:hint="eastAsia" w:ascii="Times New Roman" w:hAnsi="Times New Roman" w:eastAsia="仿宋_GB2312"/>
          <w:color w:val="000000"/>
          <w:spacing w:val="-4"/>
          <w:sz w:val="32"/>
          <w:szCs w:val="32"/>
        </w:rPr>
        <w:t>年，森林火灾受害率控制在</w:t>
      </w:r>
      <w:r>
        <w:rPr>
          <w:rFonts w:ascii="Times New Roman" w:hAnsi="Times New Roman" w:eastAsia="仿宋_GB2312"/>
          <w:color w:val="000000"/>
          <w:spacing w:val="-4"/>
          <w:sz w:val="32"/>
          <w:szCs w:val="32"/>
        </w:rPr>
        <w:t>0.5‰</w:t>
      </w:r>
      <w:r>
        <w:rPr>
          <w:rFonts w:hint="eastAsia" w:ascii="Times New Roman" w:hAnsi="Times New Roman" w:eastAsia="仿宋_GB2312"/>
          <w:color w:val="000000"/>
          <w:spacing w:val="-4"/>
          <w:sz w:val="32"/>
          <w:szCs w:val="32"/>
        </w:rPr>
        <w:t>以内。</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强化源头治理，加大防火宣传，做到宣传不留盲区、教育不留盲点。加强群防群治，发动群众积极主动参与森林管护，开展火险期责任区常态化和交互检查活动，排查火灾隐患。做好林火阻隔系统、防火道路网建设，选择生长快、</w:t>
      </w:r>
      <w:r>
        <w:rPr>
          <w:rFonts w:hint="eastAsia" w:ascii="Times New Roman" w:hAnsi="Times New Roman" w:eastAsia="仿宋_GB2312"/>
          <w:color w:val="000000"/>
          <w:spacing w:val="-6"/>
          <w:sz w:val="32"/>
          <w:szCs w:val="32"/>
        </w:rPr>
        <w:t>适应性强、耐火性好、萌芽力高的防火树种，营造生物防火林带，降低重特大森林火灾发生率。</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推进保障能力建设，加强森林草原防火信息化工作，完善林火视频监控系统，推进森林草原防火通信和信息指挥系统建设，提升综合指挥调度和业务管理水平。提高专业防灭火队伍消防实战能力，实现重点区域队伍专业化、标准化，提升综合灭火能力。加强防灭火物资储备。</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做好火灾处置，发生森林草原火灾时，当地人民政府和应急管理、林业行政主管部门应当立即根据国家森林火灾等级划分标准和森林防灭火应急预案启动相应的救援机制，采取相应的扑救措施，并按照有关规定逐级上报。</w:t>
      </w:r>
    </w:p>
    <w:p>
      <w:pPr>
        <w:spacing w:line="560" w:lineRule="exact"/>
        <w:ind w:firstLine="640" w:firstLineChars="200"/>
        <w:rPr>
          <w:rFonts w:ascii="Times New Roman" w:hAnsi="Times New Roman" w:eastAsia="仿宋_GB2312"/>
          <w:color w:val="000000"/>
          <w:sz w:val="32"/>
          <w:szCs w:val="32"/>
        </w:rPr>
      </w:pPr>
    </w:p>
    <w:p>
      <w:pPr>
        <w:spacing w:line="560" w:lineRule="exact"/>
        <w:jc w:val="center"/>
        <w:outlineLvl w:val="0"/>
        <w:rPr>
          <w:rFonts w:ascii="Times New Roman" w:hAnsi="Times New Roman" w:eastAsia="黑体"/>
          <w:color w:val="000000"/>
          <w:sz w:val="32"/>
          <w:szCs w:val="32"/>
        </w:rPr>
      </w:pPr>
      <w:bookmarkStart w:id="75" w:name="_Toc21954"/>
      <w:bookmarkStart w:id="76" w:name="_Toc32224"/>
      <w:bookmarkStart w:id="77" w:name="_Toc24975"/>
      <w:r>
        <w:rPr>
          <w:rFonts w:hint="eastAsia" w:ascii="Times New Roman" w:hAnsi="Times New Roman" w:eastAsia="黑体"/>
          <w:color w:val="000000"/>
          <w:sz w:val="32"/>
          <w:szCs w:val="32"/>
        </w:rPr>
        <w:t>第五章</w:t>
      </w:r>
      <w:r>
        <w:rPr>
          <w:rFonts w:ascii="Times New Roman" w:hAnsi="Times New Roman" w:eastAsia="黑体"/>
          <w:color w:val="000000"/>
          <w:sz w:val="32"/>
          <w:szCs w:val="32"/>
        </w:rPr>
        <w:t xml:space="preserve">  </w:t>
      </w:r>
      <w:r>
        <w:rPr>
          <w:rFonts w:hint="eastAsia" w:ascii="Times New Roman" w:hAnsi="Times New Roman" w:eastAsia="黑体"/>
          <w:color w:val="000000"/>
          <w:sz w:val="32"/>
          <w:szCs w:val="32"/>
        </w:rPr>
        <w:t>强化水资源保护</w:t>
      </w:r>
      <w:bookmarkEnd w:id="75"/>
      <w:bookmarkEnd w:id="76"/>
      <w:bookmarkEnd w:id="77"/>
    </w:p>
    <w:p>
      <w:pPr>
        <w:spacing w:line="560" w:lineRule="exact"/>
        <w:ind w:firstLine="640" w:firstLineChars="200"/>
        <w:rPr>
          <w:rFonts w:ascii="Times New Roman" w:hAnsi="Times New Roman" w:eastAsia="仿宋_GB2312"/>
          <w:color w:val="000000"/>
          <w:sz w:val="32"/>
          <w:szCs w:val="32"/>
        </w:rPr>
      </w:pP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科学保护水资源和水环境，采取保护植被、涵养水源、水土流失治理、水源地保护等综合措施，防御水灾害，防治水污染，保护水生态，调度水资源，加强河道岸线管控，推进水生态修复，确保饮用水安全，保证水资源可持续利用。</w:t>
      </w:r>
    </w:p>
    <w:p>
      <w:pPr>
        <w:spacing w:line="560" w:lineRule="exact"/>
        <w:jc w:val="center"/>
        <w:rPr>
          <w:rFonts w:ascii="Times New Roman" w:hAnsi="Times New Roman" w:eastAsia="楷体_GB2312"/>
          <w:b/>
          <w:bCs/>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78" w:name="_Toc5410"/>
      <w:bookmarkStart w:id="79" w:name="_Toc30472"/>
      <w:bookmarkStart w:id="80" w:name="_Toc8113"/>
      <w:r>
        <w:rPr>
          <w:rFonts w:hint="eastAsia" w:ascii="Times New Roman" w:hAnsi="Times New Roman" w:eastAsia="楷体_GB2312"/>
          <w:b/>
          <w:bCs/>
          <w:color w:val="000000"/>
          <w:sz w:val="32"/>
          <w:szCs w:val="32"/>
        </w:rPr>
        <w:t>第一节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水功能区划</w:t>
      </w:r>
      <w:bookmarkEnd w:id="78"/>
      <w:bookmarkEnd w:id="79"/>
      <w:bookmarkEnd w:id="80"/>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全县生态环境保护区划分水功能区</w:t>
      </w:r>
      <w:r>
        <w:rPr>
          <w:rFonts w:ascii="Times New Roman" w:hAnsi="Times New Roman" w:eastAsia="仿宋_GB2312"/>
          <w:color w:val="000000"/>
          <w:sz w:val="32"/>
          <w:szCs w:val="32"/>
        </w:rPr>
        <w:t>8</w:t>
      </w:r>
      <w:r>
        <w:rPr>
          <w:rFonts w:hint="eastAsia" w:ascii="Times New Roman" w:hAnsi="Times New Roman" w:eastAsia="仿宋_GB2312"/>
          <w:color w:val="000000"/>
          <w:sz w:val="32"/>
          <w:szCs w:val="32"/>
        </w:rPr>
        <w:t>个；属于源头水保护区的</w:t>
      </w:r>
      <w:r>
        <w:rPr>
          <w:rFonts w:ascii="Times New Roman" w:hAnsi="Times New Roman" w:eastAsia="仿宋_GB2312"/>
          <w:color w:val="000000"/>
          <w:sz w:val="32"/>
          <w:szCs w:val="32"/>
        </w:rPr>
        <w:t>1</w:t>
      </w:r>
      <w:r>
        <w:rPr>
          <w:rFonts w:hint="eastAsia" w:ascii="Times New Roman" w:hAnsi="Times New Roman" w:eastAsia="仿宋_GB2312"/>
          <w:color w:val="000000"/>
          <w:sz w:val="32"/>
          <w:szCs w:val="32"/>
        </w:rPr>
        <w:t>个。</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落实最严格水资源管理制度，强化水功能区监督管理，以水功能区为控制单元，以断面水质为管理目标，从严核定水域纳污容量，落实排污许可制，严格控制入河排污总量。建立健全水功能区分级分类监督管理体系和水功能区水质达标评价体系，加强秦岭水质状况监测。监测指标超过水功能区划标准的，应当依法采取治理措施。</w:t>
      </w:r>
    </w:p>
    <w:p>
      <w:pPr>
        <w:spacing w:beforeLines="50" w:afterLines="50" w:line="600" w:lineRule="atLeast"/>
        <w:jc w:val="center"/>
        <w:rPr>
          <w:rFonts w:ascii="Times New Roman" w:hAnsi="Times New Roman" w:eastAsia="楷体_GB2312"/>
          <w:b/>
          <w:bCs/>
          <w:color w:val="000000"/>
          <w:sz w:val="28"/>
          <w:szCs w:val="28"/>
        </w:rPr>
      </w:pPr>
      <w:r>
        <w:rPr>
          <w:rFonts w:hint="eastAsia" w:ascii="Times New Roman" w:hAnsi="Times New Roman" w:eastAsia="楷体_GB2312"/>
          <w:b/>
          <w:bCs/>
          <w:color w:val="000000"/>
          <w:sz w:val="28"/>
          <w:szCs w:val="28"/>
        </w:rPr>
        <w:t>专栏</w:t>
      </w:r>
      <w:r>
        <w:rPr>
          <w:rFonts w:ascii="Times New Roman" w:hAnsi="Times New Roman" w:eastAsia="楷体_GB2312"/>
          <w:b/>
          <w:bCs/>
          <w:color w:val="000000"/>
          <w:sz w:val="28"/>
          <w:szCs w:val="28"/>
        </w:rPr>
        <w:t xml:space="preserve">5  </w:t>
      </w:r>
      <w:r>
        <w:rPr>
          <w:rFonts w:hint="eastAsia" w:ascii="Times New Roman" w:hAnsi="Times New Roman" w:eastAsia="楷体_GB2312"/>
          <w:b/>
          <w:bCs/>
          <w:color w:val="000000"/>
          <w:sz w:val="28"/>
          <w:szCs w:val="28"/>
        </w:rPr>
        <w:t>水功能区划及水质目标</w:t>
      </w:r>
    </w:p>
    <w:tbl>
      <w:tblPr>
        <w:tblStyle w:val="7"/>
        <w:tblW w:w="8465"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411"/>
        <w:gridCol w:w="3226"/>
        <w:gridCol w:w="2442"/>
        <w:gridCol w:w="983"/>
        <w:gridCol w:w="675"/>
        <w:gridCol w:w="72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43" w:hRule="atLeast"/>
          <w:jc w:val="center"/>
        </w:trPr>
        <w:tc>
          <w:tcPr>
            <w:tcW w:w="411" w:type="dxa"/>
            <w:vAlign w:val="center"/>
          </w:tcPr>
          <w:p>
            <w:pPr>
              <w:adjustRightInd w:val="0"/>
              <w:snapToGrid w:val="0"/>
              <w:rPr>
                <w:rFonts w:ascii="Times New Roman" w:hAnsi="Times New Roman" w:eastAsia="仿宋_GB2312"/>
                <w:color w:val="000000"/>
                <w:spacing w:val="-8"/>
                <w:sz w:val="24"/>
              </w:rPr>
            </w:pPr>
            <w:r>
              <w:rPr>
                <w:rFonts w:hint="eastAsia" w:ascii="Times New Roman" w:hAnsi="Times New Roman" w:eastAsia="仿宋_GB2312"/>
                <w:color w:val="000000"/>
                <w:spacing w:val="-8"/>
                <w:sz w:val="24"/>
              </w:rPr>
              <w:t>分</w:t>
            </w:r>
          </w:p>
          <w:p>
            <w:pPr>
              <w:adjustRightInd w:val="0"/>
              <w:snapToGrid w:val="0"/>
              <w:rPr>
                <w:rFonts w:ascii="Times New Roman" w:hAnsi="Times New Roman" w:eastAsia="仿宋_GB2312"/>
                <w:color w:val="000000"/>
                <w:spacing w:val="-8"/>
                <w:sz w:val="24"/>
              </w:rPr>
            </w:pPr>
            <w:r>
              <w:rPr>
                <w:rFonts w:hint="eastAsia" w:ascii="Times New Roman" w:hAnsi="Times New Roman" w:eastAsia="仿宋_GB2312"/>
                <w:color w:val="000000"/>
                <w:spacing w:val="-8"/>
                <w:sz w:val="24"/>
              </w:rPr>
              <w:t>区</w:t>
            </w:r>
          </w:p>
        </w:tc>
        <w:tc>
          <w:tcPr>
            <w:tcW w:w="3226" w:type="dxa"/>
            <w:vAlign w:val="center"/>
          </w:tcPr>
          <w:p>
            <w:pPr>
              <w:adjustRightInd w:val="0"/>
              <w:snapToGrid w:val="0"/>
              <w:jc w:val="center"/>
              <w:rPr>
                <w:rFonts w:ascii="Times New Roman" w:hAnsi="Times New Roman" w:eastAsia="仿宋_GB2312"/>
                <w:color w:val="000000"/>
                <w:spacing w:val="-8"/>
                <w:sz w:val="24"/>
              </w:rPr>
            </w:pPr>
            <w:r>
              <w:rPr>
                <w:rFonts w:hint="eastAsia" w:ascii="Times New Roman" w:hAnsi="Times New Roman" w:eastAsia="仿宋_GB2312"/>
                <w:color w:val="000000"/>
                <w:spacing w:val="-8"/>
                <w:sz w:val="24"/>
              </w:rPr>
              <w:t>一级功能区</w:t>
            </w:r>
          </w:p>
        </w:tc>
        <w:tc>
          <w:tcPr>
            <w:tcW w:w="2442" w:type="dxa"/>
            <w:vAlign w:val="center"/>
          </w:tcPr>
          <w:p>
            <w:pPr>
              <w:adjustRightInd w:val="0"/>
              <w:snapToGrid w:val="0"/>
              <w:jc w:val="center"/>
              <w:rPr>
                <w:rFonts w:ascii="Times New Roman" w:hAnsi="Times New Roman" w:eastAsia="仿宋_GB2312"/>
                <w:color w:val="000000"/>
                <w:spacing w:val="-8"/>
                <w:sz w:val="24"/>
              </w:rPr>
            </w:pPr>
            <w:r>
              <w:rPr>
                <w:rFonts w:hint="eastAsia" w:ascii="Times New Roman" w:hAnsi="Times New Roman" w:eastAsia="仿宋_GB2312"/>
                <w:color w:val="000000"/>
                <w:spacing w:val="-8"/>
                <w:sz w:val="24"/>
              </w:rPr>
              <w:t>二级功能区</w:t>
            </w:r>
          </w:p>
        </w:tc>
        <w:tc>
          <w:tcPr>
            <w:tcW w:w="983" w:type="dxa"/>
            <w:vAlign w:val="center"/>
          </w:tcPr>
          <w:p>
            <w:pPr>
              <w:adjustRightInd w:val="0"/>
              <w:snapToGrid w:val="0"/>
              <w:rPr>
                <w:rFonts w:ascii="Times New Roman" w:hAnsi="Times New Roman" w:eastAsia="仿宋_GB2312"/>
                <w:color w:val="000000"/>
                <w:spacing w:val="-8"/>
                <w:sz w:val="24"/>
              </w:rPr>
            </w:pPr>
            <w:r>
              <w:rPr>
                <w:rFonts w:hint="eastAsia" w:ascii="Times New Roman" w:hAnsi="Times New Roman" w:eastAsia="仿宋_GB2312"/>
                <w:color w:val="000000"/>
                <w:spacing w:val="-8"/>
                <w:sz w:val="24"/>
              </w:rPr>
              <w:t>代表河长（</w:t>
            </w:r>
            <w:r>
              <w:rPr>
                <w:rFonts w:ascii="Times New Roman" w:hAnsi="Times New Roman" w:eastAsia="仿宋_GB2312"/>
                <w:color w:val="000000"/>
                <w:spacing w:val="-8"/>
                <w:sz w:val="24"/>
              </w:rPr>
              <w:t>km</w:t>
            </w:r>
            <w:r>
              <w:rPr>
                <w:rFonts w:hint="eastAsia" w:ascii="Times New Roman" w:hAnsi="Times New Roman" w:eastAsia="仿宋_GB2312"/>
                <w:color w:val="000000"/>
                <w:spacing w:val="-8"/>
                <w:sz w:val="24"/>
              </w:rPr>
              <w:t>）</w:t>
            </w:r>
          </w:p>
        </w:tc>
        <w:tc>
          <w:tcPr>
            <w:tcW w:w="675" w:type="dxa"/>
            <w:vAlign w:val="center"/>
          </w:tcPr>
          <w:p>
            <w:pPr>
              <w:adjustRightInd w:val="0"/>
              <w:snapToGrid w:val="0"/>
              <w:rPr>
                <w:rFonts w:ascii="Times New Roman" w:hAnsi="Times New Roman" w:eastAsia="仿宋_GB2312"/>
                <w:color w:val="000000"/>
                <w:spacing w:val="-8"/>
                <w:sz w:val="24"/>
              </w:rPr>
            </w:pPr>
            <w:r>
              <w:rPr>
                <w:rFonts w:hint="eastAsia" w:ascii="Times New Roman" w:hAnsi="Times New Roman" w:eastAsia="仿宋_GB2312"/>
                <w:color w:val="000000"/>
                <w:spacing w:val="-8"/>
                <w:sz w:val="24"/>
              </w:rPr>
              <w:t>现状</w:t>
            </w:r>
          </w:p>
          <w:p>
            <w:pPr>
              <w:adjustRightInd w:val="0"/>
              <w:snapToGrid w:val="0"/>
              <w:rPr>
                <w:rFonts w:ascii="Times New Roman" w:hAnsi="Times New Roman" w:eastAsia="仿宋_GB2312"/>
                <w:color w:val="000000"/>
                <w:spacing w:val="-8"/>
                <w:sz w:val="24"/>
              </w:rPr>
            </w:pPr>
            <w:r>
              <w:rPr>
                <w:rFonts w:hint="eastAsia" w:ascii="Times New Roman" w:hAnsi="Times New Roman" w:eastAsia="仿宋_GB2312"/>
                <w:color w:val="000000"/>
                <w:spacing w:val="-8"/>
                <w:sz w:val="24"/>
              </w:rPr>
              <w:t>水质</w:t>
            </w:r>
          </w:p>
        </w:tc>
        <w:tc>
          <w:tcPr>
            <w:tcW w:w="728" w:type="dxa"/>
            <w:vAlign w:val="center"/>
          </w:tcPr>
          <w:p>
            <w:pPr>
              <w:adjustRightInd w:val="0"/>
              <w:snapToGrid w:val="0"/>
              <w:rPr>
                <w:rFonts w:ascii="Times New Roman" w:hAnsi="Times New Roman" w:eastAsia="仿宋_GB2312"/>
                <w:color w:val="000000"/>
                <w:spacing w:val="-8"/>
                <w:sz w:val="24"/>
              </w:rPr>
            </w:pPr>
            <w:r>
              <w:rPr>
                <w:rFonts w:hint="eastAsia" w:ascii="Times New Roman" w:hAnsi="Times New Roman" w:eastAsia="仿宋_GB2312"/>
                <w:color w:val="000000"/>
                <w:spacing w:val="-8"/>
                <w:sz w:val="24"/>
              </w:rPr>
              <w:t>目标</w:t>
            </w:r>
          </w:p>
          <w:p>
            <w:pPr>
              <w:adjustRightInd w:val="0"/>
              <w:snapToGrid w:val="0"/>
              <w:rPr>
                <w:rFonts w:ascii="Times New Roman" w:hAnsi="Times New Roman" w:eastAsia="仿宋_GB2312"/>
                <w:color w:val="000000"/>
                <w:spacing w:val="-8"/>
                <w:sz w:val="24"/>
              </w:rPr>
            </w:pPr>
            <w:r>
              <w:rPr>
                <w:rFonts w:hint="eastAsia" w:ascii="Times New Roman" w:hAnsi="Times New Roman" w:eastAsia="仿宋_GB2312"/>
                <w:color w:val="000000"/>
                <w:spacing w:val="-8"/>
                <w:sz w:val="24"/>
              </w:rPr>
              <w:t>水质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45" w:hRule="atLeast"/>
          <w:jc w:val="center"/>
        </w:trPr>
        <w:tc>
          <w:tcPr>
            <w:tcW w:w="411" w:type="dxa"/>
            <w:vMerge w:val="restart"/>
            <w:vAlign w:val="center"/>
          </w:tcPr>
          <w:p>
            <w:pPr>
              <w:adjustRightInd w:val="0"/>
              <w:snapToGrid w:val="0"/>
              <w:rPr>
                <w:rFonts w:ascii="Times New Roman" w:hAnsi="Times New Roman" w:eastAsia="仿宋_GB2312"/>
                <w:color w:val="000000"/>
                <w:spacing w:val="-8"/>
                <w:sz w:val="24"/>
              </w:rPr>
            </w:pPr>
            <w:r>
              <w:rPr>
                <w:rFonts w:hint="eastAsia" w:ascii="Times New Roman" w:hAnsi="Times New Roman" w:eastAsia="仿宋_GB2312"/>
                <w:color w:val="000000"/>
                <w:spacing w:val="-8"/>
                <w:sz w:val="24"/>
              </w:rPr>
              <w:t>伊</w:t>
            </w:r>
          </w:p>
          <w:p>
            <w:pPr>
              <w:adjustRightInd w:val="0"/>
              <w:snapToGrid w:val="0"/>
              <w:rPr>
                <w:rFonts w:ascii="Times New Roman" w:hAnsi="Times New Roman" w:eastAsia="仿宋_GB2312"/>
                <w:color w:val="000000"/>
                <w:spacing w:val="-8"/>
                <w:sz w:val="24"/>
              </w:rPr>
            </w:pPr>
            <w:r>
              <w:rPr>
                <w:rFonts w:hint="eastAsia" w:ascii="Times New Roman" w:hAnsi="Times New Roman" w:eastAsia="仿宋_GB2312"/>
                <w:color w:val="000000"/>
                <w:spacing w:val="-8"/>
                <w:sz w:val="24"/>
              </w:rPr>
              <w:t>洛</w:t>
            </w:r>
          </w:p>
          <w:p>
            <w:pPr>
              <w:adjustRightInd w:val="0"/>
              <w:snapToGrid w:val="0"/>
              <w:rPr>
                <w:rFonts w:ascii="Times New Roman" w:hAnsi="Times New Roman" w:eastAsia="仿宋_GB2312"/>
                <w:color w:val="000000"/>
                <w:spacing w:val="-8"/>
                <w:sz w:val="24"/>
              </w:rPr>
            </w:pPr>
            <w:r>
              <w:rPr>
                <w:rFonts w:hint="eastAsia" w:ascii="Times New Roman" w:hAnsi="Times New Roman" w:eastAsia="仿宋_GB2312"/>
                <w:color w:val="000000"/>
                <w:spacing w:val="-8"/>
                <w:sz w:val="24"/>
              </w:rPr>
              <w:t>河</w:t>
            </w:r>
          </w:p>
        </w:tc>
        <w:tc>
          <w:tcPr>
            <w:tcW w:w="3226" w:type="dxa"/>
            <w:vAlign w:val="center"/>
          </w:tcPr>
          <w:p>
            <w:pPr>
              <w:adjustRightInd w:val="0"/>
              <w:snapToGrid w:val="0"/>
              <w:rPr>
                <w:rFonts w:ascii="Times New Roman" w:hAnsi="Times New Roman" w:eastAsia="仿宋_GB2312"/>
                <w:color w:val="000000"/>
                <w:spacing w:val="-8"/>
                <w:sz w:val="24"/>
              </w:rPr>
            </w:pPr>
            <w:r>
              <w:rPr>
                <w:rFonts w:hint="eastAsia" w:ascii="Times New Roman" w:hAnsi="Times New Roman" w:eastAsia="仿宋_GB2312"/>
                <w:color w:val="000000"/>
                <w:spacing w:val="-8"/>
                <w:sz w:val="24"/>
              </w:rPr>
              <w:t>伊洛河源头水保护区</w:t>
            </w:r>
          </w:p>
        </w:tc>
        <w:tc>
          <w:tcPr>
            <w:tcW w:w="2442" w:type="dxa"/>
            <w:vAlign w:val="center"/>
          </w:tcPr>
          <w:p>
            <w:pPr>
              <w:adjustRightInd w:val="0"/>
              <w:snapToGrid w:val="0"/>
              <w:rPr>
                <w:rFonts w:ascii="Times New Roman" w:hAnsi="Times New Roman" w:eastAsia="仿宋_GB2312"/>
                <w:color w:val="000000"/>
                <w:spacing w:val="-8"/>
                <w:sz w:val="24"/>
              </w:rPr>
            </w:pPr>
          </w:p>
        </w:tc>
        <w:tc>
          <w:tcPr>
            <w:tcW w:w="983" w:type="dxa"/>
            <w:vAlign w:val="center"/>
          </w:tcPr>
          <w:p>
            <w:pPr>
              <w:adjustRightInd w:val="0"/>
              <w:snapToGrid w:val="0"/>
              <w:jc w:val="center"/>
              <w:rPr>
                <w:rFonts w:ascii="Times New Roman" w:hAnsi="Times New Roman" w:eastAsia="仿宋_GB2312"/>
                <w:color w:val="000000"/>
                <w:spacing w:val="-8"/>
                <w:sz w:val="24"/>
              </w:rPr>
            </w:pPr>
            <w:r>
              <w:rPr>
                <w:rFonts w:ascii="Times New Roman" w:hAnsi="Times New Roman" w:eastAsia="仿宋_GB2312"/>
                <w:color w:val="000000"/>
                <w:spacing w:val="-8"/>
                <w:sz w:val="24"/>
              </w:rPr>
              <w:t>48.6</w:t>
            </w:r>
          </w:p>
        </w:tc>
        <w:tc>
          <w:tcPr>
            <w:tcW w:w="675" w:type="dxa"/>
            <w:vAlign w:val="center"/>
          </w:tcPr>
          <w:p>
            <w:pPr>
              <w:adjustRightInd w:val="0"/>
              <w:snapToGrid w:val="0"/>
              <w:jc w:val="center"/>
              <w:rPr>
                <w:rFonts w:ascii="Times New Roman" w:hAnsi="Times New Roman" w:eastAsia="仿宋_GB2312"/>
                <w:color w:val="000000"/>
                <w:spacing w:val="-8"/>
                <w:sz w:val="24"/>
              </w:rPr>
            </w:pPr>
            <w:r>
              <w:rPr>
                <w:rFonts w:ascii="Times New Roman" w:hAnsi="Times New Roman"/>
                <w:color w:val="000000"/>
                <w:spacing w:val="-8"/>
                <w:sz w:val="24"/>
              </w:rPr>
              <w:t>Ⅲ</w:t>
            </w:r>
          </w:p>
        </w:tc>
        <w:tc>
          <w:tcPr>
            <w:tcW w:w="728" w:type="dxa"/>
            <w:vAlign w:val="center"/>
          </w:tcPr>
          <w:p>
            <w:pPr>
              <w:adjustRightInd w:val="0"/>
              <w:snapToGrid w:val="0"/>
              <w:jc w:val="center"/>
              <w:rPr>
                <w:rFonts w:ascii="Times New Roman" w:hAnsi="Times New Roman" w:eastAsia="仿宋_GB2312"/>
                <w:color w:val="000000"/>
                <w:spacing w:val="-8"/>
                <w:sz w:val="24"/>
              </w:rPr>
            </w:pPr>
            <w:r>
              <w:rPr>
                <w:rFonts w:ascii="Times New Roman" w:hAnsi="Times New Roman"/>
                <w:color w:val="000000"/>
                <w:spacing w:val="-8"/>
                <w:sz w:val="24"/>
              </w:rPr>
              <w:t>Ⅲ</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65" w:hRule="atLeast"/>
          <w:jc w:val="center"/>
        </w:trPr>
        <w:tc>
          <w:tcPr>
            <w:tcW w:w="411" w:type="dxa"/>
            <w:vMerge w:val="continue"/>
            <w:vAlign w:val="center"/>
          </w:tcPr>
          <w:p>
            <w:pPr>
              <w:adjustRightInd w:val="0"/>
              <w:snapToGrid w:val="0"/>
              <w:jc w:val="center"/>
              <w:rPr>
                <w:rFonts w:ascii="Times New Roman" w:hAnsi="Times New Roman" w:eastAsia="仿宋_GB2312"/>
                <w:color w:val="000000"/>
                <w:spacing w:val="-8"/>
                <w:sz w:val="24"/>
              </w:rPr>
            </w:pPr>
          </w:p>
        </w:tc>
        <w:tc>
          <w:tcPr>
            <w:tcW w:w="3226" w:type="dxa"/>
            <w:vAlign w:val="center"/>
          </w:tcPr>
          <w:p>
            <w:pPr>
              <w:adjustRightInd w:val="0"/>
              <w:snapToGrid w:val="0"/>
              <w:rPr>
                <w:rFonts w:ascii="Times New Roman" w:hAnsi="Times New Roman" w:eastAsia="仿宋_GB2312"/>
                <w:color w:val="000000"/>
                <w:spacing w:val="-8"/>
                <w:sz w:val="24"/>
              </w:rPr>
            </w:pPr>
            <w:r>
              <w:rPr>
                <w:rFonts w:hint="eastAsia" w:ascii="Times New Roman" w:hAnsi="Times New Roman" w:eastAsia="仿宋_GB2312"/>
                <w:color w:val="000000"/>
                <w:spacing w:val="-8"/>
                <w:sz w:val="24"/>
              </w:rPr>
              <w:t>伊洛河洛南段开发利用区</w:t>
            </w:r>
          </w:p>
        </w:tc>
        <w:tc>
          <w:tcPr>
            <w:tcW w:w="2442" w:type="dxa"/>
            <w:vAlign w:val="center"/>
          </w:tcPr>
          <w:p>
            <w:pPr>
              <w:adjustRightInd w:val="0"/>
              <w:snapToGrid w:val="0"/>
              <w:jc w:val="center"/>
              <w:rPr>
                <w:rFonts w:ascii="Times New Roman" w:hAnsi="Times New Roman" w:eastAsia="仿宋_GB2312"/>
                <w:color w:val="000000"/>
                <w:spacing w:val="-8"/>
                <w:sz w:val="24"/>
              </w:rPr>
            </w:pPr>
            <w:r>
              <w:rPr>
                <w:rFonts w:hint="eastAsia" w:ascii="Times New Roman" w:hAnsi="Times New Roman" w:eastAsia="仿宋_GB2312"/>
                <w:color w:val="000000"/>
                <w:spacing w:val="-8"/>
                <w:sz w:val="24"/>
              </w:rPr>
              <w:t>农业用水区</w:t>
            </w:r>
          </w:p>
        </w:tc>
        <w:tc>
          <w:tcPr>
            <w:tcW w:w="983" w:type="dxa"/>
            <w:vAlign w:val="center"/>
          </w:tcPr>
          <w:p>
            <w:pPr>
              <w:adjustRightInd w:val="0"/>
              <w:snapToGrid w:val="0"/>
              <w:jc w:val="center"/>
              <w:rPr>
                <w:rFonts w:ascii="Times New Roman" w:hAnsi="Times New Roman" w:eastAsia="仿宋_GB2312"/>
                <w:color w:val="000000"/>
                <w:spacing w:val="-8"/>
                <w:sz w:val="24"/>
              </w:rPr>
            </w:pPr>
            <w:r>
              <w:rPr>
                <w:rFonts w:ascii="Times New Roman" w:hAnsi="Times New Roman" w:eastAsia="仿宋_GB2312"/>
                <w:color w:val="000000"/>
                <w:spacing w:val="-8"/>
                <w:sz w:val="24"/>
              </w:rPr>
              <w:t>43.1</w:t>
            </w:r>
          </w:p>
        </w:tc>
        <w:tc>
          <w:tcPr>
            <w:tcW w:w="675" w:type="dxa"/>
            <w:vAlign w:val="center"/>
          </w:tcPr>
          <w:p>
            <w:pPr>
              <w:adjustRightInd w:val="0"/>
              <w:snapToGrid w:val="0"/>
              <w:jc w:val="center"/>
              <w:rPr>
                <w:rFonts w:ascii="Times New Roman" w:hAnsi="Times New Roman" w:eastAsia="仿宋_GB2312"/>
                <w:color w:val="000000"/>
                <w:spacing w:val="-8"/>
                <w:sz w:val="24"/>
              </w:rPr>
            </w:pPr>
            <w:r>
              <w:rPr>
                <w:rFonts w:ascii="Times New Roman" w:hAnsi="Times New Roman"/>
                <w:color w:val="000000"/>
                <w:spacing w:val="-8"/>
                <w:sz w:val="24"/>
              </w:rPr>
              <w:t>Ⅲ</w:t>
            </w:r>
          </w:p>
        </w:tc>
        <w:tc>
          <w:tcPr>
            <w:tcW w:w="728" w:type="dxa"/>
            <w:vAlign w:val="center"/>
          </w:tcPr>
          <w:p>
            <w:pPr>
              <w:adjustRightInd w:val="0"/>
              <w:snapToGrid w:val="0"/>
              <w:jc w:val="center"/>
              <w:rPr>
                <w:rFonts w:ascii="Times New Roman" w:hAnsi="Times New Roman" w:eastAsia="仿宋_GB2312"/>
                <w:color w:val="000000"/>
                <w:spacing w:val="-8"/>
                <w:sz w:val="24"/>
              </w:rPr>
            </w:pPr>
            <w:r>
              <w:rPr>
                <w:rFonts w:ascii="Times New Roman" w:hAnsi="Times New Roman"/>
                <w:color w:val="000000"/>
                <w:spacing w:val="-8"/>
                <w:sz w:val="24"/>
              </w:rPr>
              <w:t>Ⅲ</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47" w:hRule="atLeast"/>
          <w:jc w:val="center"/>
        </w:trPr>
        <w:tc>
          <w:tcPr>
            <w:tcW w:w="411" w:type="dxa"/>
            <w:vMerge w:val="continue"/>
            <w:vAlign w:val="center"/>
          </w:tcPr>
          <w:p>
            <w:pPr>
              <w:adjustRightInd w:val="0"/>
              <w:snapToGrid w:val="0"/>
              <w:jc w:val="center"/>
              <w:rPr>
                <w:rFonts w:ascii="Times New Roman" w:hAnsi="Times New Roman" w:eastAsia="仿宋_GB2312"/>
                <w:color w:val="000000"/>
                <w:spacing w:val="-8"/>
                <w:sz w:val="24"/>
              </w:rPr>
            </w:pPr>
          </w:p>
        </w:tc>
        <w:tc>
          <w:tcPr>
            <w:tcW w:w="3226" w:type="dxa"/>
            <w:vAlign w:val="center"/>
          </w:tcPr>
          <w:p>
            <w:pPr>
              <w:adjustRightInd w:val="0"/>
              <w:snapToGrid w:val="0"/>
              <w:rPr>
                <w:rFonts w:ascii="Times New Roman" w:hAnsi="Times New Roman" w:eastAsia="仿宋_GB2312"/>
                <w:color w:val="000000"/>
                <w:spacing w:val="-8"/>
                <w:sz w:val="24"/>
              </w:rPr>
            </w:pPr>
            <w:r>
              <w:rPr>
                <w:rFonts w:hint="eastAsia" w:ascii="Times New Roman" w:hAnsi="Times New Roman" w:eastAsia="仿宋_GB2312"/>
                <w:color w:val="000000"/>
                <w:spacing w:val="-8"/>
                <w:sz w:val="24"/>
              </w:rPr>
              <w:t>伊洛河陕豫缓冲区</w:t>
            </w:r>
          </w:p>
        </w:tc>
        <w:tc>
          <w:tcPr>
            <w:tcW w:w="2442" w:type="dxa"/>
            <w:vAlign w:val="center"/>
          </w:tcPr>
          <w:p>
            <w:pPr>
              <w:adjustRightInd w:val="0"/>
              <w:snapToGrid w:val="0"/>
              <w:jc w:val="center"/>
              <w:rPr>
                <w:rFonts w:ascii="Times New Roman" w:hAnsi="Times New Roman" w:eastAsia="仿宋_GB2312"/>
                <w:color w:val="000000"/>
                <w:spacing w:val="-8"/>
                <w:sz w:val="24"/>
              </w:rPr>
            </w:pPr>
          </w:p>
        </w:tc>
        <w:tc>
          <w:tcPr>
            <w:tcW w:w="983" w:type="dxa"/>
            <w:vAlign w:val="center"/>
          </w:tcPr>
          <w:p>
            <w:pPr>
              <w:adjustRightInd w:val="0"/>
              <w:snapToGrid w:val="0"/>
              <w:jc w:val="center"/>
              <w:rPr>
                <w:rFonts w:ascii="Times New Roman" w:hAnsi="Times New Roman" w:eastAsia="仿宋_GB2312"/>
                <w:color w:val="000000"/>
                <w:spacing w:val="-8"/>
                <w:sz w:val="24"/>
              </w:rPr>
            </w:pPr>
            <w:r>
              <w:rPr>
                <w:rFonts w:ascii="Times New Roman" w:hAnsi="Times New Roman" w:eastAsia="仿宋_GB2312"/>
                <w:color w:val="000000"/>
                <w:spacing w:val="-8"/>
                <w:sz w:val="24"/>
              </w:rPr>
              <w:t>16.6</w:t>
            </w:r>
          </w:p>
        </w:tc>
        <w:tc>
          <w:tcPr>
            <w:tcW w:w="675" w:type="dxa"/>
            <w:vAlign w:val="center"/>
          </w:tcPr>
          <w:p>
            <w:pPr>
              <w:adjustRightInd w:val="0"/>
              <w:snapToGrid w:val="0"/>
              <w:jc w:val="center"/>
              <w:rPr>
                <w:rFonts w:ascii="Times New Roman" w:hAnsi="Times New Roman" w:eastAsia="仿宋_GB2312"/>
                <w:color w:val="000000"/>
                <w:spacing w:val="-8"/>
                <w:sz w:val="24"/>
              </w:rPr>
            </w:pPr>
            <w:r>
              <w:rPr>
                <w:rFonts w:ascii="Times New Roman" w:hAnsi="Times New Roman"/>
                <w:color w:val="000000"/>
                <w:spacing w:val="-8"/>
                <w:sz w:val="24"/>
              </w:rPr>
              <w:t>Ⅱ</w:t>
            </w:r>
          </w:p>
        </w:tc>
        <w:tc>
          <w:tcPr>
            <w:tcW w:w="728" w:type="dxa"/>
            <w:vAlign w:val="center"/>
          </w:tcPr>
          <w:p>
            <w:pPr>
              <w:adjustRightInd w:val="0"/>
              <w:snapToGrid w:val="0"/>
              <w:jc w:val="center"/>
              <w:rPr>
                <w:rFonts w:ascii="Times New Roman" w:hAnsi="Times New Roman" w:eastAsia="仿宋_GB2312"/>
                <w:color w:val="000000"/>
                <w:spacing w:val="-8"/>
                <w:sz w:val="24"/>
              </w:rPr>
            </w:pPr>
            <w:r>
              <w:rPr>
                <w:rFonts w:ascii="Times New Roman" w:hAnsi="Times New Roman"/>
                <w:color w:val="000000"/>
                <w:spacing w:val="-8"/>
                <w:sz w:val="24"/>
              </w:rPr>
              <w:t>Ⅲ</w:t>
            </w:r>
          </w:p>
        </w:tc>
      </w:tr>
    </w:tbl>
    <w:p>
      <w:pPr>
        <w:ind w:firstLine="420" w:firstLineChars="200"/>
        <w:jc w:val="left"/>
        <w:rPr>
          <w:rFonts w:ascii="Times New Roman" w:hAnsi="Times New Roman"/>
          <w:color w:val="000000"/>
        </w:rPr>
      </w:pPr>
      <w:r>
        <w:rPr>
          <w:rFonts w:hint="eastAsia" w:ascii="Times New Roman" w:hAnsi="Times New Roman"/>
          <w:color w:val="000000"/>
        </w:rPr>
        <w:t>注：</w:t>
      </w:r>
      <w:r>
        <w:rPr>
          <w:rFonts w:ascii="Times New Roman" w:hAnsi="Times New Roman"/>
          <w:color w:val="000000"/>
        </w:rPr>
        <w:t>*</w:t>
      </w:r>
      <w:r>
        <w:rPr>
          <w:rFonts w:hint="eastAsia" w:ascii="Times New Roman" w:hAnsi="Times New Roman"/>
          <w:color w:val="000000"/>
        </w:rPr>
        <w:t>现状水质采用</w:t>
      </w:r>
      <w:r>
        <w:rPr>
          <w:rFonts w:ascii="Times New Roman" w:hAnsi="Times New Roman"/>
          <w:color w:val="000000"/>
        </w:rPr>
        <w:t>2019</w:t>
      </w:r>
      <w:r>
        <w:rPr>
          <w:rFonts w:hint="eastAsia" w:ascii="Times New Roman" w:hAnsi="Times New Roman"/>
          <w:color w:val="000000"/>
        </w:rPr>
        <w:t>年底数据。</w:t>
      </w:r>
    </w:p>
    <w:p>
      <w:pPr>
        <w:spacing w:line="560" w:lineRule="exact"/>
        <w:jc w:val="center"/>
        <w:outlineLvl w:val="1"/>
        <w:rPr>
          <w:rFonts w:ascii="Times New Roman" w:hAnsi="Times New Roman" w:eastAsia="楷体_GB2312"/>
          <w:b/>
          <w:bCs/>
          <w:color w:val="000000"/>
          <w:sz w:val="32"/>
          <w:szCs w:val="32"/>
        </w:rPr>
      </w:pPr>
      <w:bookmarkStart w:id="81" w:name="_Toc24278"/>
      <w:bookmarkStart w:id="82" w:name="_Toc16578"/>
      <w:bookmarkStart w:id="83" w:name="_Toc13101"/>
    </w:p>
    <w:p>
      <w:pPr>
        <w:spacing w:line="560" w:lineRule="exact"/>
        <w:jc w:val="center"/>
        <w:outlineLvl w:val="1"/>
        <w:rPr>
          <w:rFonts w:ascii="Times New Roman" w:hAnsi="Times New Roman" w:eastAsia="楷体_GB2312"/>
          <w:b/>
          <w:bCs/>
          <w:color w:val="000000"/>
          <w:sz w:val="32"/>
          <w:szCs w:val="32"/>
        </w:rPr>
      </w:pPr>
      <w:r>
        <w:rPr>
          <w:rFonts w:hint="eastAsia" w:ascii="Times New Roman" w:hAnsi="Times New Roman" w:eastAsia="楷体_GB2312"/>
          <w:b/>
          <w:bCs/>
          <w:color w:val="000000"/>
          <w:sz w:val="32"/>
          <w:szCs w:val="32"/>
        </w:rPr>
        <w:t>第二节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水源保护</w:t>
      </w:r>
      <w:bookmarkEnd w:id="81"/>
      <w:bookmarkEnd w:id="82"/>
      <w:bookmarkEnd w:id="83"/>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实施最严格水质监管措施，确保洛河出省境断面水质稳定达标。落实最严格的水资源管理制度，实施用水总量控制、用水效率控制、水功能区限制纳污控制，以及各级政府水资源管理责任和考核</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四项制度</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，到</w:t>
      </w:r>
      <w:r>
        <w:rPr>
          <w:rFonts w:ascii="Times New Roman" w:hAnsi="Times New Roman" w:eastAsia="仿宋_GB2312"/>
          <w:color w:val="000000"/>
          <w:sz w:val="32"/>
          <w:szCs w:val="32"/>
        </w:rPr>
        <w:t>2025</w:t>
      </w:r>
      <w:r>
        <w:rPr>
          <w:rFonts w:hint="eastAsia" w:ascii="Times New Roman" w:hAnsi="Times New Roman" w:eastAsia="仿宋_GB2312"/>
          <w:color w:val="000000"/>
          <w:sz w:val="32"/>
          <w:szCs w:val="32"/>
        </w:rPr>
        <w:t>年，用水效率达到并保持省内先进水平。</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实施以控制单元为</w:t>
      </w:r>
      <w:r>
        <w:rPr>
          <w:rFonts w:hint="eastAsia" w:ascii="Times New Roman" w:hAnsi="Times New Roman" w:eastAsia="仿宋_GB2312"/>
          <w:color w:val="000000"/>
          <w:spacing w:val="-10"/>
          <w:sz w:val="32"/>
          <w:szCs w:val="32"/>
        </w:rPr>
        <w:t>基础的水环境质量目标管理。依据主体功能区规划、水功能区和行政区划，划定陆域控制单元，建立流域、水生态控制区、水环境控制单元三级分区体系。实施以控制单元为空间基础、以断面水质</w:t>
      </w:r>
      <w:r>
        <w:rPr>
          <w:rFonts w:hint="eastAsia" w:ascii="Times New Roman" w:hAnsi="Times New Roman" w:eastAsia="仿宋_GB2312"/>
          <w:color w:val="000000"/>
          <w:sz w:val="32"/>
          <w:szCs w:val="32"/>
        </w:rPr>
        <w:t>为管理目标的流域水环境质量目标管理。</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深化</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河长制</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进一步完善县、镇（办）、村（社区）三级河库健康保障体系和管理机制，夯实各级河长主体责任，维护河流健康生命，实现河流功能永续利用。加强河道岸线管控，在河道、水库管理范围内，禁止围河（水库）造田、挖田造</w:t>
      </w:r>
      <w:r>
        <w:rPr>
          <w:rFonts w:hint="eastAsia" w:ascii="Times New Roman" w:hAnsi="Times New Roman" w:eastAsia="仿宋_GB2312"/>
          <w:color w:val="000000"/>
          <w:spacing w:val="-6"/>
          <w:sz w:val="32"/>
          <w:szCs w:val="32"/>
        </w:rPr>
        <w:t>库，违规修建房屋等建筑物（构筑物）、存放物料，擅自搭建旅游、渔业设施；禁止堆放、倾倒、掩埋、排放污染水体的物体，禁止其他危害河岸堤防安全及影响行洪安全的行为。</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调度水资源，建设水电站、水库等水工程，应当符合《条例》《总体规划》、秦岭水资源保护利用专项规划，明确保护范围，保障河流的合理流量和水库或引蓄水工程、地下水的合理水位，维护生态平衡。建设和运营涉河蓄水、拦水工程设施，应当保证生态基流量，采取修建过鱼设施等措施，消除或者减少对水生野生动物的不利影响。健全水资源保护监测体系，提高监督管理信息化水平，加强水资源保护监管。</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保证饮用水水源安全，依法设立饮用水水源保护区，保护区分为一级保护区、二级保护区。必要时，可以在饮用水水源保护区外围划定一定的区域作为准保护区。饮用水水源保护区由县政府设置标牌、界桩。在一级保护区范围内，禁止建设与供水设施和保护水源无关的项目，关闭污水排放口，搬迁工业企业，清除工业废渣和生活垃圾。限期关闭二级保护区内的直接排污口，取缔严重污染水质的网箱养殖、农家乐、旅游垂钓等活动，禁止新建、改建、扩建向水域排放污染物的建设项目，稳步推进水源保护区内移民搬迁。国家、地方供水工程水源涵养地和其他饮用水地表水、地下水的水源一级保护区、二级保护区、准保护区的管理，按照国家和陕西省饮用水水源保护的有关规定从严执行，确保供水达标达质。</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制定饮用水水源地突发事件应急预案，对于水源地上游或周边分布有采矿、化工等污染性企业及临近交通干线的，应在水源保护区建设截污坝、截污沟（渠）、隔离墩（墙）等风险防范设施，并符合饮用水水源地达标建设要求。完善饮用水水源地监测管理体系，健全水源地水质自动监测体系和自动化信息传输、储存和公开系统。加强饮用水源监管执法检查，落实水源区范围潜在危险污染源排查全覆盖。</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禁止使用不符合国家规定防污条件的运载工具，运载油类、粪便等污染物和有毒、有害物质通过饮用水地表水水源保护区。禁止运输危险化学品的车辆通过饮用水地表水水源保护区；确需通过的，应当采取有效安全防护措施，依法报公安机关办理有关手续，并通知饮用水水源保护区管理机构。公安、交通运输等行政主管部门，规划危险化学品运输专用线路或者改变运输方式，避免和减少对饮用水地表水水源的危害。</w:t>
      </w:r>
    </w:p>
    <w:p>
      <w:pPr>
        <w:spacing w:line="560" w:lineRule="exact"/>
        <w:jc w:val="center"/>
        <w:rPr>
          <w:rFonts w:ascii="Times New Roman" w:hAnsi="Times New Roman" w:eastAsia="楷体_GB2312"/>
          <w:b/>
          <w:bCs/>
          <w:color w:val="000000"/>
          <w:sz w:val="28"/>
          <w:szCs w:val="28"/>
        </w:rPr>
      </w:pPr>
      <w:r>
        <w:rPr>
          <w:rFonts w:hint="eastAsia" w:ascii="Times New Roman" w:hAnsi="Times New Roman" w:eastAsia="楷体_GB2312"/>
          <w:b/>
          <w:bCs/>
          <w:color w:val="000000"/>
          <w:sz w:val="28"/>
          <w:szCs w:val="28"/>
        </w:rPr>
        <w:t>专栏</w:t>
      </w:r>
      <w:r>
        <w:rPr>
          <w:rFonts w:ascii="Times New Roman" w:hAnsi="Times New Roman" w:eastAsia="楷体_GB2312"/>
          <w:b/>
          <w:bCs/>
          <w:color w:val="000000"/>
          <w:sz w:val="28"/>
          <w:szCs w:val="28"/>
        </w:rPr>
        <w:t xml:space="preserve">6 </w:t>
      </w:r>
      <w:r>
        <w:rPr>
          <w:rFonts w:hint="eastAsia" w:ascii="Times New Roman" w:hAnsi="Times New Roman" w:eastAsia="楷体_GB2312"/>
          <w:b/>
          <w:bCs/>
          <w:color w:val="000000"/>
          <w:sz w:val="28"/>
          <w:szCs w:val="28"/>
        </w:rPr>
        <w:t>水源保护重点工程</w:t>
      </w:r>
    </w:p>
    <w:tbl>
      <w:tblPr>
        <w:tblStyle w:val="7"/>
        <w:tblW w:w="8703"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8703"/>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323" w:hRule="atLeast"/>
          <w:jc w:val="center"/>
        </w:trPr>
        <w:tc>
          <w:tcPr>
            <w:tcW w:w="8703" w:type="dxa"/>
            <w:tcBorders>
              <w:top w:val="single" w:color="auto" w:sz="4" w:space="0"/>
              <w:bottom w:val="single" w:color="auto" w:sz="4" w:space="0"/>
            </w:tcBorders>
            <w:vAlign w:val="center"/>
          </w:tcPr>
          <w:p>
            <w:pPr>
              <w:spacing w:line="420" w:lineRule="exact"/>
              <w:ind w:firstLine="474" w:firstLineChars="200"/>
              <w:rPr>
                <w:rFonts w:ascii="Times New Roman" w:hAnsi="Times New Roman" w:eastAsia="仿宋_GB2312"/>
                <w:color w:val="000000"/>
                <w:spacing w:val="-2"/>
                <w:sz w:val="24"/>
              </w:rPr>
            </w:pPr>
            <w:r>
              <w:rPr>
                <w:rFonts w:hint="eastAsia" w:ascii="Times New Roman" w:hAnsi="Times New Roman" w:eastAsia="仿宋_GB2312"/>
                <w:b/>
                <w:color w:val="000000"/>
                <w:spacing w:val="-2"/>
                <w:sz w:val="24"/>
              </w:rPr>
              <w:t>综合整治黑臭水体。</w:t>
            </w:r>
            <w:r>
              <w:rPr>
                <w:rFonts w:hint="eastAsia" w:ascii="Times New Roman" w:hAnsi="Times New Roman" w:eastAsia="仿宋_GB2312"/>
                <w:color w:val="000000"/>
                <w:spacing w:val="-2"/>
                <w:sz w:val="24"/>
              </w:rPr>
              <w:t>建立黑臭水体清单，采取控源截污、垃圾清理、清淤疏浚、生态修复等措施，加大综合治理力度，改善水体环境和质量。</w:t>
            </w:r>
          </w:p>
          <w:p>
            <w:pPr>
              <w:spacing w:line="420" w:lineRule="exact"/>
              <w:ind w:firstLine="474" w:firstLineChars="200"/>
              <w:rPr>
                <w:rFonts w:ascii="Times New Roman" w:hAnsi="Times New Roman" w:eastAsia="仿宋_GB2312"/>
                <w:color w:val="000000"/>
                <w:spacing w:val="-2"/>
                <w:sz w:val="24"/>
              </w:rPr>
            </w:pPr>
            <w:r>
              <w:rPr>
                <w:rFonts w:hint="eastAsia" w:ascii="Times New Roman" w:hAnsi="Times New Roman" w:eastAsia="仿宋_GB2312"/>
                <w:b/>
                <w:color w:val="000000"/>
                <w:spacing w:val="-2"/>
                <w:sz w:val="24"/>
              </w:rPr>
              <w:t>开展地下水污染防治。</w:t>
            </w:r>
            <w:r>
              <w:rPr>
                <w:rFonts w:hint="eastAsia" w:ascii="Times New Roman" w:hAnsi="Times New Roman" w:eastAsia="仿宋_GB2312"/>
                <w:color w:val="000000"/>
                <w:spacing w:val="-2"/>
                <w:sz w:val="24"/>
              </w:rPr>
              <w:t>加强城镇污水处理等环保基础设施建设和改造，建立地下水污染防治分区体系，划定地下水污染保护区、防控区及治理区，全面打好污染防治攻坚战，保障地下水安全。</w:t>
            </w:r>
          </w:p>
          <w:p>
            <w:pPr>
              <w:spacing w:line="420" w:lineRule="exact"/>
              <w:ind w:firstLine="474" w:firstLineChars="200"/>
              <w:rPr>
                <w:rFonts w:ascii="Times New Roman" w:hAnsi="Times New Roman" w:eastAsia="仿宋_GB2312"/>
                <w:color w:val="000000"/>
                <w:spacing w:val="-2"/>
                <w:sz w:val="24"/>
              </w:rPr>
            </w:pPr>
            <w:r>
              <w:rPr>
                <w:rFonts w:hint="eastAsia" w:ascii="Times New Roman" w:hAnsi="Times New Roman" w:eastAsia="仿宋_GB2312"/>
                <w:b/>
                <w:color w:val="000000"/>
                <w:spacing w:val="-2"/>
                <w:sz w:val="24"/>
              </w:rPr>
              <w:t>水资源保护监管能力建设。</w:t>
            </w:r>
            <w:r>
              <w:rPr>
                <w:rFonts w:hint="eastAsia" w:ascii="Times New Roman" w:hAnsi="Times New Roman" w:eastAsia="仿宋_GB2312"/>
                <w:color w:val="000000"/>
                <w:spacing w:val="-2"/>
                <w:sz w:val="24"/>
              </w:rPr>
              <w:t>加强水环境监测能力建设，建设水环境监测化验室，完善河水量、水质在线监测体系，建立水环境污染智慧环保监管平台及配套设施，实施河道网格化和信息化管理建设，落实饮用水水源地环境风险防范和应急预警，提升监测能力和管理水平。</w:t>
            </w:r>
          </w:p>
          <w:p>
            <w:pPr>
              <w:spacing w:line="420" w:lineRule="exact"/>
              <w:ind w:firstLine="474" w:firstLineChars="200"/>
              <w:rPr>
                <w:rFonts w:ascii="Times New Roman" w:hAnsi="Times New Roman" w:eastAsia="仿宋_GB2312"/>
                <w:color w:val="000000"/>
                <w:spacing w:val="-2"/>
                <w:sz w:val="24"/>
              </w:rPr>
            </w:pPr>
            <w:r>
              <w:rPr>
                <w:rFonts w:hint="eastAsia" w:ascii="Times New Roman" w:hAnsi="Times New Roman" w:eastAsia="仿宋_GB2312"/>
                <w:b/>
                <w:color w:val="000000"/>
                <w:spacing w:val="-2"/>
                <w:sz w:val="24"/>
              </w:rPr>
              <w:t>推进重点水利工程。</w:t>
            </w:r>
            <w:r>
              <w:rPr>
                <w:rFonts w:hint="eastAsia" w:ascii="Times New Roman" w:hAnsi="Times New Roman" w:eastAsia="仿宋_GB2312"/>
                <w:color w:val="000000"/>
                <w:spacing w:val="-2"/>
                <w:sz w:val="24"/>
              </w:rPr>
              <w:t>建成河库水系连通工程。</w:t>
            </w:r>
          </w:p>
          <w:p>
            <w:pPr>
              <w:spacing w:line="420" w:lineRule="exact"/>
              <w:ind w:firstLine="474" w:firstLineChars="200"/>
              <w:rPr>
                <w:rFonts w:ascii="Times New Roman" w:hAnsi="Times New Roman" w:eastAsia="仿宋_GB2312"/>
                <w:color w:val="000000"/>
                <w:spacing w:val="-2"/>
                <w:sz w:val="24"/>
              </w:rPr>
            </w:pPr>
            <w:r>
              <w:rPr>
                <w:rFonts w:hint="eastAsia" w:ascii="Times New Roman" w:hAnsi="Times New Roman" w:eastAsia="仿宋_GB2312"/>
                <w:b/>
                <w:color w:val="000000"/>
                <w:spacing w:val="-2"/>
                <w:sz w:val="24"/>
              </w:rPr>
              <w:t>污水处理工程。</w:t>
            </w:r>
            <w:r>
              <w:rPr>
                <w:rFonts w:hint="eastAsia" w:ascii="Times New Roman" w:hAnsi="Times New Roman" w:eastAsia="仿宋_GB2312"/>
                <w:color w:val="000000"/>
                <w:spacing w:val="-2"/>
                <w:sz w:val="24"/>
              </w:rPr>
              <w:t>全县新建和提标改造污水处理厂（站）</w:t>
            </w:r>
            <w:r>
              <w:rPr>
                <w:rFonts w:ascii="Times New Roman" w:hAnsi="Times New Roman" w:eastAsia="仿宋_GB2312"/>
                <w:color w:val="000000"/>
                <w:spacing w:val="-2"/>
                <w:sz w:val="24"/>
              </w:rPr>
              <w:t>97</w:t>
            </w:r>
            <w:r>
              <w:rPr>
                <w:rFonts w:hint="eastAsia" w:ascii="Times New Roman" w:hAnsi="Times New Roman" w:eastAsia="仿宋_GB2312"/>
                <w:color w:val="000000"/>
                <w:spacing w:val="-2"/>
                <w:sz w:val="24"/>
              </w:rPr>
              <w:t>座，其中镇级</w:t>
            </w:r>
            <w:r>
              <w:rPr>
                <w:rFonts w:ascii="Times New Roman" w:hAnsi="Times New Roman" w:eastAsia="仿宋_GB2312"/>
                <w:color w:val="000000"/>
                <w:spacing w:val="-2"/>
                <w:sz w:val="24"/>
              </w:rPr>
              <w:t>12</w:t>
            </w:r>
            <w:r>
              <w:rPr>
                <w:rFonts w:hint="eastAsia" w:ascii="Times New Roman" w:hAnsi="Times New Roman" w:eastAsia="仿宋_GB2312"/>
                <w:color w:val="000000"/>
                <w:spacing w:val="-2"/>
                <w:sz w:val="24"/>
              </w:rPr>
              <w:t>座、移民搬迁点</w:t>
            </w:r>
            <w:r>
              <w:rPr>
                <w:rFonts w:ascii="Times New Roman" w:hAnsi="Times New Roman" w:eastAsia="仿宋_GB2312"/>
                <w:color w:val="000000"/>
                <w:spacing w:val="-2"/>
                <w:sz w:val="24"/>
              </w:rPr>
              <w:t>83</w:t>
            </w:r>
            <w:r>
              <w:rPr>
                <w:rFonts w:hint="eastAsia" w:ascii="Times New Roman" w:hAnsi="Times New Roman" w:eastAsia="仿宋_GB2312"/>
                <w:color w:val="000000"/>
                <w:spacing w:val="-2"/>
                <w:sz w:val="24"/>
              </w:rPr>
              <w:t>座、景区</w:t>
            </w:r>
            <w:r>
              <w:rPr>
                <w:rFonts w:ascii="Times New Roman" w:hAnsi="Times New Roman" w:eastAsia="仿宋_GB2312"/>
                <w:color w:val="000000"/>
                <w:spacing w:val="-2"/>
                <w:sz w:val="24"/>
              </w:rPr>
              <w:t>2</w:t>
            </w:r>
            <w:r>
              <w:rPr>
                <w:rFonts w:hint="eastAsia" w:ascii="Times New Roman" w:hAnsi="Times New Roman" w:eastAsia="仿宋_GB2312"/>
                <w:color w:val="000000"/>
                <w:spacing w:val="-2"/>
                <w:sz w:val="24"/>
              </w:rPr>
              <w:t>座，设计日处理污水约</w:t>
            </w:r>
            <w:r>
              <w:rPr>
                <w:rFonts w:ascii="Times New Roman" w:hAnsi="Times New Roman" w:eastAsia="仿宋_GB2312"/>
                <w:color w:val="000000"/>
                <w:spacing w:val="-2"/>
                <w:sz w:val="24"/>
              </w:rPr>
              <w:t>1.41</w:t>
            </w:r>
            <w:r>
              <w:rPr>
                <w:rFonts w:hint="eastAsia" w:ascii="Times New Roman" w:hAnsi="Times New Roman" w:eastAsia="仿宋_GB2312"/>
                <w:color w:val="000000"/>
                <w:spacing w:val="-2"/>
                <w:sz w:val="24"/>
              </w:rPr>
              <w:t>万吨，配套建设污水收集管网</w:t>
            </w:r>
            <w:r>
              <w:rPr>
                <w:rFonts w:ascii="Times New Roman" w:hAnsi="Times New Roman" w:eastAsia="仿宋_GB2312"/>
                <w:color w:val="000000"/>
                <w:spacing w:val="-2"/>
                <w:sz w:val="24"/>
              </w:rPr>
              <w:t>212.1</w:t>
            </w:r>
            <w:r>
              <w:rPr>
                <w:rFonts w:hint="eastAsia" w:ascii="Times New Roman" w:hAnsi="Times New Roman" w:eastAsia="仿宋_GB2312"/>
                <w:color w:val="000000"/>
                <w:spacing w:val="-2"/>
                <w:sz w:val="24"/>
              </w:rPr>
              <w:t>公里。</w:t>
            </w:r>
          </w:p>
        </w:tc>
      </w:tr>
    </w:tbl>
    <w:p>
      <w:pPr>
        <w:spacing w:line="606" w:lineRule="exact"/>
        <w:ind w:firstLine="640" w:firstLineChars="200"/>
        <w:rPr>
          <w:rFonts w:ascii="Times New Roman" w:hAnsi="Times New Roman" w:eastAsia="仿宋_GB2312"/>
          <w:color w:val="000000"/>
          <w:sz w:val="32"/>
          <w:szCs w:val="32"/>
        </w:rPr>
      </w:pPr>
    </w:p>
    <w:p>
      <w:pPr>
        <w:spacing w:line="580" w:lineRule="exact"/>
        <w:jc w:val="center"/>
        <w:outlineLvl w:val="1"/>
        <w:rPr>
          <w:rFonts w:ascii="Times New Roman" w:hAnsi="Times New Roman" w:eastAsia="楷体_GB2312"/>
          <w:b/>
          <w:bCs/>
          <w:color w:val="000000"/>
          <w:sz w:val="32"/>
          <w:szCs w:val="32"/>
        </w:rPr>
      </w:pPr>
      <w:bookmarkStart w:id="84" w:name="_Toc306"/>
      <w:bookmarkStart w:id="85" w:name="_Toc14204"/>
      <w:bookmarkStart w:id="86" w:name="_Toc5361"/>
      <w:r>
        <w:rPr>
          <w:rFonts w:hint="eastAsia" w:ascii="Times New Roman" w:hAnsi="Times New Roman" w:eastAsia="楷体_GB2312"/>
          <w:b/>
          <w:bCs/>
          <w:color w:val="000000"/>
          <w:sz w:val="32"/>
          <w:szCs w:val="32"/>
        </w:rPr>
        <w:t>第三节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水土保持</w:t>
      </w:r>
      <w:bookmarkEnd w:id="84"/>
      <w:bookmarkEnd w:id="85"/>
      <w:bookmarkEnd w:id="86"/>
    </w:p>
    <w:p>
      <w:pPr>
        <w:spacing w:line="58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坚持预防为主、防治结合，划定水土流失重点防治区，严格控制生产建设活动。以封育保护和自然恢复为主，实施水土流失综合防治工程，遏制水土流失，改善生态环境。建立健全水土保持预防监督体系和水土流失监测网络。</w:t>
      </w:r>
    </w:p>
    <w:p>
      <w:pPr>
        <w:spacing w:line="58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在水土流失严重区域开展以小流域为单元的山水田林路村综合治理，加强坡面、河沟道及村庄等重点治理区的水土流失与面源污染综合防治。到</w:t>
      </w:r>
      <w:r>
        <w:rPr>
          <w:rFonts w:ascii="Times New Roman" w:hAnsi="Times New Roman" w:eastAsia="仿宋_GB2312"/>
          <w:color w:val="000000"/>
          <w:sz w:val="32"/>
          <w:szCs w:val="32"/>
        </w:rPr>
        <w:t>2025</w:t>
      </w:r>
      <w:r>
        <w:rPr>
          <w:rFonts w:hint="eastAsia" w:ascii="Times New Roman" w:hAnsi="Times New Roman" w:eastAsia="仿宋_GB2312"/>
          <w:color w:val="000000"/>
          <w:sz w:val="32"/>
          <w:szCs w:val="32"/>
        </w:rPr>
        <w:t>年，新增水土流失治理面积</w:t>
      </w:r>
      <w:r>
        <w:rPr>
          <w:rFonts w:ascii="Times New Roman" w:hAnsi="Times New Roman" w:eastAsia="仿宋_GB2312"/>
          <w:color w:val="000000"/>
          <w:sz w:val="32"/>
          <w:szCs w:val="32"/>
        </w:rPr>
        <w:t>5.4</w:t>
      </w:r>
      <w:r>
        <w:rPr>
          <w:rFonts w:hint="eastAsia" w:ascii="Times New Roman" w:hAnsi="Times New Roman" w:eastAsia="仿宋_GB2312"/>
          <w:color w:val="000000"/>
          <w:sz w:val="32"/>
          <w:szCs w:val="32"/>
        </w:rPr>
        <w:t>平方公里。</w:t>
      </w:r>
    </w:p>
    <w:p>
      <w:pPr>
        <w:spacing w:line="58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以水源涵养林、水土保持林、护岸林为重点，加快中幼林抚育、低效林改造、混交林培育和国家储备林基地建设，优化林分结构，提高林分质量，提高水源区的固土保水能力。水行政主管部门应当采取坡面整治、沟道防护、水土保持林草（包括生态林、经济林、种草）、疏溪固堤、治塘筑堰等措施，减少水土流失。</w:t>
      </w:r>
    </w:p>
    <w:p>
      <w:pPr>
        <w:spacing w:line="58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在禁垦坡度以下、</w:t>
      </w:r>
      <w:r>
        <w:rPr>
          <w:rFonts w:ascii="Times New Roman" w:hAnsi="Times New Roman" w:eastAsia="仿宋_GB2312"/>
          <w:color w:val="000000"/>
          <w:sz w:val="32"/>
          <w:szCs w:val="32"/>
        </w:rPr>
        <w:t>5</w:t>
      </w:r>
      <w:r>
        <w:rPr>
          <w:rFonts w:hint="eastAsia" w:ascii="Times New Roman" w:hAnsi="Times New Roman" w:eastAsia="仿宋_GB2312"/>
          <w:color w:val="000000"/>
          <w:sz w:val="32"/>
          <w:szCs w:val="32"/>
        </w:rPr>
        <w:t>度以上的坡地种植农作物的，应当采取修建水平梯田、坡面水系整治、蓄水保土耕作等水土保持措施；植树造林、抚育幼林、种植中药材的，应当采取水土保持措施，防止水土流失。</w:t>
      </w:r>
    </w:p>
    <w:p>
      <w:pPr>
        <w:spacing w:line="58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严禁</w:t>
      </w:r>
      <w:r>
        <w:rPr>
          <w:rFonts w:hint="eastAsia" w:ascii="Times New Roman" w:hAnsi="Times New Roman" w:eastAsia="仿宋_GB2312"/>
          <w:color w:val="000000"/>
          <w:sz w:val="32"/>
          <w:szCs w:val="32"/>
          <w:lang w:eastAsia="zh-CN"/>
        </w:rPr>
        <w:t>乱砍滥伐</w:t>
      </w:r>
      <w:r>
        <w:rPr>
          <w:rFonts w:hint="eastAsia" w:ascii="Times New Roman" w:hAnsi="Times New Roman" w:eastAsia="仿宋_GB2312"/>
          <w:color w:val="000000"/>
          <w:sz w:val="32"/>
          <w:szCs w:val="32"/>
        </w:rPr>
        <w:t>和陡坡开荒，禁止在河流两岸，铁路、公路和重要旅游线路两侧直观可视范围内，进行露天开采石材石料等非金属矿产资源的行为。采矿企业应优化采矿工艺标准，严格执行开采工艺，最大限度减少地面扰动和破坏地下水系。</w:t>
      </w:r>
    </w:p>
    <w:p>
      <w:pPr>
        <w:spacing w:line="58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严格生产建设项目水土保持方案申报审批，水土保持设施应当与主体工程同时设计、同时施工、同时投产使用。强化建设项目事中事后监管，有效控制水土流失。</w:t>
      </w:r>
    </w:p>
    <w:p>
      <w:pPr>
        <w:spacing w:line="580" w:lineRule="exact"/>
        <w:jc w:val="center"/>
        <w:rPr>
          <w:rFonts w:ascii="Times New Roman" w:hAnsi="Times New Roman" w:eastAsia="楷体_GB2312"/>
          <w:b/>
          <w:bCs/>
          <w:color w:val="000000"/>
          <w:sz w:val="32"/>
          <w:szCs w:val="32"/>
        </w:rPr>
      </w:pPr>
    </w:p>
    <w:p>
      <w:pPr>
        <w:spacing w:line="580" w:lineRule="exact"/>
        <w:jc w:val="center"/>
        <w:outlineLvl w:val="1"/>
        <w:rPr>
          <w:rFonts w:ascii="Times New Roman" w:hAnsi="Times New Roman" w:eastAsia="楷体_GB2312"/>
          <w:b/>
          <w:bCs/>
          <w:color w:val="000000"/>
          <w:sz w:val="32"/>
          <w:szCs w:val="32"/>
        </w:rPr>
      </w:pPr>
      <w:bookmarkStart w:id="87" w:name="_Toc28520"/>
      <w:bookmarkStart w:id="88" w:name="_Toc25736"/>
      <w:bookmarkStart w:id="89" w:name="_Toc18793"/>
      <w:r>
        <w:rPr>
          <w:rFonts w:hint="eastAsia" w:ascii="Times New Roman" w:hAnsi="Times New Roman" w:eastAsia="楷体_GB2312"/>
          <w:b/>
          <w:bCs/>
          <w:color w:val="000000"/>
          <w:sz w:val="32"/>
          <w:szCs w:val="32"/>
        </w:rPr>
        <w:t>第四节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流域治理</w:t>
      </w:r>
      <w:bookmarkEnd w:id="87"/>
      <w:bookmarkEnd w:id="88"/>
      <w:bookmarkEnd w:id="89"/>
    </w:p>
    <w:p>
      <w:pPr>
        <w:spacing w:line="58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以洛河综合整治和小流域治理为重点，严格执行重点水污染物排放总量控制制度。生态环境行政主管部门，应当根据上级人民政府下达的重点水污染物排放总量控制指标，拟</w:t>
      </w:r>
      <w:r>
        <w:rPr>
          <w:rFonts w:hint="eastAsia" w:ascii="Times New Roman" w:hAnsi="Times New Roman" w:eastAsia="仿宋_GB2312"/>
          <w:color w:val="000000"/>
          <w:spacing w:val="-6"/>
          <w:sz w:val="32"/>
          <w:szCs w:val="32"/>
        </w:rPr>
        <w:t>定本行政区域重点水污染物排放总量控制实施方案，并报上一级生态环境行政</w:t>
      </w:r>
      <w:r>
        <w:rPr>
          <w:rFonts w:hint="eastAsia" w:ascii="Times New Roman" w:hAnsi="Times New Roman" w:eastAsia="仿宋_GB2312"/>
          <w:color w:val="000000"/>
          <w:sz w:val="32"/>
          <w:szCs w:val="32"/>
        </w:rPr>
        <w:t>主管部门备案。排污单位应当达标排放并符合排放总量控制要求。</w:t>
      </w:r>
    </w:p>
    <w:p>
      <w:pPr>
        <w:spacing w:line="58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实施以</w:t>
      </w:r>
      <w:r>
        <w:rPr>
          <w:rFonts w:hint="eastAsia" w:ascii="Times New Roman" w:hAnsi="Times New Roman" w:eastAsia="仿宋_GB2312"/>
          <w:color w:val="000000"/>
          <w:spacing w:val="-6"/>
          <w:sz w:val="32"/>
          <w:szCs w:val="32"/>
        </w:rPr>
        <w:t>改善水质为主要目标的河道整治工程，严格控制在一般保护区内的河道岸线安排工业（含能源）项目，经批准必须建设的，优先安排河道流域治理，确保河道安全和水质达标。开展入河（库）排污口综合整治和规范化管理，落实入河（库）排污口登记、审批和监督管理制度。对现有登记的入河（库）排污口进行规范化标准化改造，设置标</w:t>
      </w:r>
      <w:r>
        <w:rPr>
          <w:rFonts w:hint="eastAsia" w:ascii="Times New Roman" w:hAnsi="Times New Roman" w:eastAsia="仿宋_GB2312"/>
          <w:color w:val="000000"/>
          <w:spacing w:val="-11"/>
          <w:sz w:val="32"/>
          <w:szCs w:val="32"/>
        </w:rPr>
        <w:t>识牌、缓冲堰板等；对未经过审批登记的非法排污口，应当全部取缔、封堵；对饮用水水源保护区、自然保护区等的入河</w:t>
      </w:r>
      <w:r>
        <w:rPr>
          <w:rFonts w:hint="eastAsia" w:ascii="Times New Roman" w:hAnsi="Times New Roman" w:eastAsia="仿宋_GB2312"/>
          <w:color w:val="000000"/>
          <w:spacing w:val="-6"/>
          <w:sz w:val="32"/>
          <w:szCs w:val="32"/>
        </w:rPr>
        <w:t>（库）</w:t>
      </w:r>
      <w:r>
        <w:rPr>
          <w:rFonts w:hint="eastAsia" w:ascii="Times New Roman" w:hAnsi="Times New Roman" w:eastAsia="仿宋_GB2312"/>
          <w:color w:val="000000"/>
          <w:spacing w:val="-11"/>
          <w:sz w:val="32"/>
          <w:szCs w:val="32"/>
        </w:rPr>
        <w:t>排污口应当全部拆除关闭。提高工业废水回用率。</w:t>
      </w:r>
    </w:p>
    <w:p>
      <w:pPr>
        <w:spacing w:line="58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加强河</w:t>
      </w:r>
      <w:r>
        <w:rPr>
          <w:rFonts w:hint="eastAsia" w:ascii="Times New Roman" w:hAnsi="Times New Roman" w:eastAsia="仿宋_GB2312"/>
          <w:color w:val="000000"/>
          <w:spacing w:val="-6"/>
          <w:sz w:val="32"/>
          <w:szCs w:val="32"/>
        </w:rPr>
        <w:t>（库）</w:t>
      </w:r>
      <w:r>
        <w:rPr>
          <w:rFonts w:hint="eastAsia" w:ascii="Times New Roman" w:hAnsi="Times New Roman" w:eastAsia="仿宋_GB2312"/>
          <w:color w:val="000000"/>
          <w:sz w:val="32"/>
          <w:szCs w:val="32"/>
        </w:rPr>
        <w:t>水生态修复与治理，严格河</w:t>
      </w:r>
      <w:r>
        <w:rPr>
          <w:rFonts w:hint="eastAsia" w:ascii="Times New Roman" w:hAnsi="Times New Roman" w:eastAsia="仿宋_GB2312"/>
          <w:color w:val="000000"/>
          <w:spacing w:val="-6"/>
          <w:sz w:val="32"/>
          <w:szCs w:val="32"/>
        </w:rPr>
        <w:t>（库）</w:t>
      </w:r>
      <w:r>
        <w:rPr>
          <w:rFonts w:hint="eastAsia" w:ascii="Times New Roman" w:hAnsi="Times New Roman" w:eastAsia="仿宋_GB2312"/>
          <w:color w:val="000000"/>
          <w:sz w:val="32"/>
          <w:szCs w:val="32"/>
        </w:rPr>
        <w:t>生态空间管控，划定河</w:t>
      </w:r>
      <w:r>
        <w:rPr>
          <w:rFonts w:hint="eastAsia" w:ascii="Times New Roman" w:hAnsi="Times New Roman" w:eastAsia="仿宋_GB2312"/>
          <w:color w:val="000000"/>
          <w:spacing w:val="-6"/>
          <w:sz w:val="32"/>
          <w:szCs w:val="32"/>
        </w:rPr>
        <w:t>（库）</w:t>
      </w:r>
      <w:r>
        <w:rPr>
          <w:rFonts w:hint="eastAsia" w:ascii="Times New Roman" w:hAnsi="Times New Roman" w:eastAsia="仿宋_GB2312"/>
          <w:color w:val="000000"/>
          <w:sz w:val="32"/>
          <w:szCs w:val="32"/>
        </w:rPr>
        <w:t>管理和保护范围，加强河</w:t>
      </w:r>
      <w:r>
        <w:rPr>
          <w:rFonts w:hint="eastAsia" w:ascii="Times New Roman" w:hAnsi="Times New Roman" w:eastAsia="仿宋_GB2312"/>
          <w:color w:val="000000"/>
          <w:spacing w:val="-6"/>
          <w:sz w:val="32"/>
          <w:szCs w:val="32"/>
        </w:rPr>
        <w:t>（库）</w:t>
      </w:r>
      <w:r>
        <w:rPr>
          <w:rFonts w:hint="eastAsia" w:ascii="Times New Roman" w:hAnsi="Times New Roman" w:eastAsia="仿宋_GB2312"/>
          <w:color w:val="000000"/>
          <w:sz w:val="32"/>
          <w:szCs w:val="32"/>
        </w:rPr>
        <w:t>水域岸线保护。综合运用河道治理、清淤疏浚、自然修复、截污治污等措施，推进生态敏感区、生态脆弱区、重要生境和生态功能受损河</w:t>
      </w:r>
      <w:r>
        <w:rPr>
          <w:rFonts w:hint="eastAsia" w:ascii="Times New Roman" w:hAnsi="Times New Roman" w:eastAsia="仿宋_GB2312"/>
          <w:color w:val="000000"/>
          <w:spacing w:val="-6"/>
          <w:sz w:val="32"/>
          <w:szCs w:val="32"/>
        </w:rPr>
        <w:t>（库）</w:t>
      </w:r>
      <w:r>
        <w:rPr>
          <w:rFonts w:hint="eastAsia" w:ascii="Times New Roman" w:hAnsi="Times New Roman" w:eastAsia="仿宋_GB2312"/>
          <w:color w:val="000000"/>
          <w:sz w:val="32"/>
          <w:szCs w:val="32"/>
        </w:rPr>
        <w:t>的生态修复。以自然河</w:t>
      </w:r>
      <w:r>
        <w:rPr>
          <w:rFonts w:hint="eastAsia" w:ascii="Times New Roman" w:hAnsi="Times New Roman" w:eastAsia="仿宋_GB2312"/>
          <w:color w:val="000000"/>
          <w:spacing w:val="-6"/>
          <w:sz w:val="32"/>
          <w:szCs w:val="32"/>
        </w:rPr>
        <w:t>（库）</w:t>
      </w:r>
      <w:r>
        <w:rPr>
          <w:rFonts w:hint="eastAsia" w:ascii="Times New Roman" w:hAnsi="Times New Roman" w:eastAsia="仿宋_GB2312"/>
          <w:color w:val="000000"/>
          <w:sz w:val="32"/>
          <w:szCs w:val="32"/>
        </w:rPr>
        <w:t>水系、调</w:t>
      </w:r>
      <w:r>
        <w:rPr>
          <w:rFonts w:hint="eastAsia" w:ascii="Times New Roman" w:hAnsi="Times New Roman" w:eastAsia="仿宋_GB2312"/>
          <w:color w:val="000000"/>
          <w:spacing w:val="-6"/>
          <w:sz w:val="32"/>
          <w:szCs w:val="32"/>
        </w:rPr>
        <w:t>蓄工程为依托，因地制宜实施河（库）水系连通工程。加强农村河道堰塘整治，改善农村人居环境和河流生态。</w:t>
      </w:r>
    </w:p>
    <w:p>
      <w:pPr>
        <w:spacing w:line="58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推进中小河流治理，提升生态治理水平和山洪灾害防治减灾能力。实施病险水库除险加固，消除病险水库隐患。开展山洪灾害防治，完善山洪灾害监测预警系统和群测群防体系。完善水文监测站网体系，提高自动化监测水平。</w:t>
      </w:r>
    </w:p>
    <w:p>
      <w:pPr>
        <w:spacing w:line="606" w:lineRule="exact"/>
        <w:jc w:val="center"/>
        <w:rPr>
          <w:rFonts w:ascii="Times New Roman" w:hAnsi="Times New Roman" w:eastAsia="楷体_GB2312"/>
          <w:b/>
          <w:bCs/>
          <w:color w:val="000000"/>
          <w:sz w:val="28"/>
          <w:szCs w:val="28"/>
        </w:rPr>
      </w:pPr>
      <w:r>
        <w:rPr>
          <w:rFonts w:hint="eastAsia" w:ascii="Times New Roman" w:hAnsi="Times New Roman" w:eastAsia="楷体_GB2312"/>
          <w:b/>
          <w:bCs/>
          <w:color w:val="000000"/>
          <w:sz w:val="28"/>
          <w:szCs w:val="28"/>
        </w:rPr>
        <w:t>专栏</w:t>
      </w:r>
      <w:r>
        <w:rPr>
          <w:rFonts w:ascii="Times New Roman" w:hAnsi="Times New Roman" w:eastAsia="楷体_GB2312"/>
          <w:b/>
          <w:bCs/>
          <w:color w:val="000000"/>
          <w:sz w:val="28"/>
          <w:szCs w:val="28"/>
        </w:rPr>
        <w:t xml:space="preserve">7  </w:t>
      </w:r>
      <w:r>
        <w:rPr>
          <w:rFonts w:hint="eastAsia" w:ascii="Times New Roman" w:hAnsi="Times New Roman" w:eastAsia="楷体_GB2312"/>
          <w:b/>
          <w:bCs/>
          <w:color w:val="000000"/>
          <w:sz w:val="28"/>
          <w:szCs w:val="28"/>
        </w:rPr>
        <w:t>流域治理重点工程</w:t>
      </w:r>
    </w:p>
    <w:tbl>
      <w:tblPr>
        <w:tblStyle w:val="7"/>
        <w:tblW w:w="8580"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8580"/>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585" w:hRule="atLeast"/>
          <w:jc w:val="center"/>
        </w:trPr>
        <w:tc>
          <w:tcPr>
            <w:tcW w:w="8580" w:type="dxa"/>
            <w:tcBorders>
              <w:top w:val="single" w:color="auto" w:sz="4" w:space="0"/>
              <w:bottom w:val="single" w:color="auto" w:sz="4" w:space="0"/>
            </w:tcBorders>
            <w:vAlign w:val="center"/>
          </w:tcPr>
          <w:p>
            <w:pPr>
              <w:spacing w:line="400" w:lineRule="exact"/>
              <w:ind w:firstLine="474" w:firstLineChars="200"/>
              <w:rPr>
                <w:rFonts w:ascii="Times New Roman" w:hAnsi="Times New Roman" w:eastAsia="仿宋_GB2312"/>
                <w:color w:val="000000"/>
                <w:spacing w:val="-2"/>
                <w:sz w:val="24"/>
              </w:rPr>
            </w:pPr>
            <w:r>
              <w:rPr>
                <w:rFonts w:hint="eastAsia" w:ascii="Times New Roman" w:hAnsi="Times New Roman" w:eastAsia="仿宋_GB2312"/>
                <w:b/>
                <w:color w:val="000000"/>
                <w:spacing w:val="-2"/>
                <w:sz w:val="24"/>
              </w:rPr>
              <w:t>推进河流水生态修复。</w:t>
            </w:r>
            <w:r>
              <w:rPr>
                <w:rFonts w:hint="eastAsia" w:ascii="Times New Roman" w:hAnsi="Times New Roman" w:eastAsia="仿宋_GB2312"/>
                <w:color w:val="000000"/>
                <w:spacing w:val="-2"/>
                <w:sz w:val="24"/>
              </w:rPr>
              <w:t>实施重要水系连通工程，开展重点流域水生态修复，保障河流生态水量，提高水生态系统功能。</w:t>
            </w:r>
          </w:p>
          <w:p>
            <w:pPr>
              <w:spacing w:line="400" w:lineRule="exact"/>
              <w:ind w:firstLine="474" w:firstLineChars="200"/>
              <w:rPr>
                <w:rFonts w:ascii="Times New Roman" w:hAnsi="Times New Roman" w:eastAsia="仿宋_GB2312"/>
                <w:color w:val="000000"/>
                <w:spacing w:val="-2"/>
                <w:sz w:val="24"/>
              </w:rPr>
            </w:pPr>
            <w:r>
              <w:rPr>
                <w:rFonts w:hint="eastAsia" w:ascii="Times New Roman" w:hAnsi="Times New Roman" w:eastAsia="仿宋_GB2312"/>
                <w:b/>
                <w:color w:val="000000"/>
                <w:spacing w:val="-2"/>
                <w:sz w:val="24"/>
              </w:rPr>
              <w:t>建设防洪工程。</w:t>
            </w:r>
            <w:r>
              <w:rPr>
                <w:rFonts w:hint="eastAsia" w:ascii="Times New Roman" w:hAnsi="Times New Roman" w:eastAsia="仿宋_GB2312"/>
                <w:color w:val="000000"/>
                <w:spacing w:val="-2"/>
                <w:sz w:val="24"/>
              </w:rPr>
              <w:t>实施洛河主要支流及中小河流防洪治理，病险水库除险加固，山洪沟治理，完善水文监测站网体系。</w:t>
            </w:r>
          </w:p>
          <w:p>
            <w:pPr>
              <w:spacing w:line="400" w:lineRule="exact"/>
              <w:ind w:firstLine="474" w:firstLineChars="200"/>
              <w:rPr>
                <w:rFonts w:ascii="Times New Roman" w:hAnsi="Times New Roman" w:eastAsia="仿宋_GB2312"/>
                <w:color w:val="000000"/>
                <w:szCs w:val="30"/>
              </w:rPr>
            </w:pPr>
            <w:r>
              <w:rPr>
                <w:rFonts w:hint="eastAsia" w:ascii="Times New Roman" w:hAnsi="Times New Roman" w:eastAsia="仿宋_GB2312"/>
                <w:b/>
                <w:color w:val="000000"/>
                <w:spacing w:val="-2"/>
                <w:sz w:val="24"/>
              </w:rPr>
              <w:t>水土流失防治工程。</w:t>
            </w:r>
            <w:r>
              <w:rPr>
                <w:rFonts w:hint="eastAsia" w:ascii="Times New Roman" w:hAnsi="Times New Roman" w:eastAsia="仿宋_GB2312"/>
                <w:color w:val="000000"/>
                <w:spacing w:val="-2"/>
                <w:sz w:val="24"/>
              </w:rPr>
              <w:t>实施小流域综合治理、水土保持治理、坡耕地综合治理等工程。</w:t>
            </w:r>
          </w:p>
        </w:tc>
      </w:tr>
    </w:tbl>
    <w:p>
      <w:pPr>
        <w:spacing w:line="540" w:lineRule="exact"/>
        <w:ind w:firstLine="640" w:firstLineChars="200"/>
        <w:rPr>
          <w:rFonts w:ascii="Times New Roman" w:hAnsi="Times New Roman" w:eastAsia="仿宋_GB2312"/>
          <w:color w:val="000000"/>
          <w:sz w:val="32"/>
          <w:szCs w:val="32"/>
        </w:rPr>
      </w:pPr>
    </w:p>
    <w:p>
      <w:pPr>
        <w:spacing w:line="560" w:lineRule="exact"/>
        <w:jc w:val="center"/>
        <w:outlineLvl w:val="0"/>
        <w:rPr>
          <w:rFonts w:ascii="Times New Roman" w:hAnsi="Times New Roman" w:eastAsia="黑体"/>
          <w:color w:val="000000"/>
          <w:sz w:val="32"/>
          <w:szCs w:val="32"/>
        </w:rPr>
      </w:pPr>
      <w:bookmarkStart w:id="90" w:name="_Toc17109"/>
      <w:bookmarkStart w:id="91" w:name="_Toc1768"/>
      <w:bookmarkStart w:id="92" w:name="_Toc13930"/>
      <w:r>
        <w:rPr>
          <w:rFonts w:hint="eastAsia" w:ascii="Times New Roman" w:hAnsi="Times New Roman" w:eastAsia="黑体"/>
          <w:color w:val="000000"/>
          <w:sz w:val="32"/>
          <w:szCs w:val="32"/>
        </w:rPr>
        <w:t>第六章</w:t>
      </w:r>
      <w:r>
        <w:rPr>
          <w:rFonts w:ascii="Times New Roman" w:hAnsi="Times New Roman" w:eastAsia="黑体"/>
          <w:color w:val="000000"/>
          <w:sz w:val="32"/>
          <w:szCs w:val="32"/>
        </w:rPr>
        <w:t xml:space="preserve">  </w:t>
      </w:r>
      <w:r>
        <w:rPr>
          <w:rFonts w:hint="eastAsia" w:ascii="Times New Roman" w:hAnsi="Times New Roman" w:eastAsia="黑体"/>
          <w:color w:val="000000"/>
          <w:sz w:val="32"/>
          <w:szCs w:val="32"/>
        </w:rPr>
        <w:t>加强生物多样性保护</w:t>
      </w:r>
      <w:bookmarkEnd w:id="90"/>
      <w:bookmarkEnd w:id="91"/>
      <w:bookmarkEnd w:id="92"/>
    </w:p>
    <w:p>
      <w:pPr>
        <w:spacing w:line="560" w:lineRule="exact"/>
        <w:ind w:firstLine="640" w:firstLineChars="200"/>
        <w:rPr>
          <w:rFonts w:ascii="Times New Roman" w:hAnsi="Times New Roman" w:eastAsia="仿宋_GB2312"/>
          <w:color w:val="000000"/>
          <w:sz w:val="32"/>
          <w:szCs w:val="32"/>
        </w:rPr>
      </w:pP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以自然保护区群和生态廊道建设为基础，保护自然生态系统和重要物种栖息地的完整性与连通性，防止经济建设对栖息地的破坏。严禁乱捕乱猎、</w:t>
      </w:r>
      <w:r>
        <w:rPr>
          <w:rFonts w:hint="eastAsia" w:ascii="Times New Roman" w:hAnsi="Times New Roman" w:eastAsia="仿宋_GB2312"/>
          <w:color w:val="000000"/>
          <w:sz w:val="32"/>
          <w:szCs w:val="32"/>
          <w:lang w:eastAsia="zh-CN"/>
        </w:rPr>
        <w:t>乱砍滥伐</w:t>
      </w:r>
      <w:r>
        <w:rPr>
          <w:rFonts w:hint="eastAsia" w:ascii="Times New Roman" w:hAnsi="Times New Roman" w:eastAsia="仿宋_GB2312"/>
          <w:color w:val="000000"/>
          <w:sz w:val="32"/>
          <w:szCs w:val="32"/>
        </w:rPr>
        <w:t>，保持和恢复野生动植物物种种群平衡，实现野生动植物资源的良性更新和持续利用。建立自然保护地体系，加快湿地保护系统工程建设，强化野生动植物保护管理，有效保护秦岭生态系统多样性、物种多样性、遗传基因多样性，实现以物种保护为中心的保护途径向以生态系统保护为中心的途径转变，维护生态平衡。</w:t>
      </w:r>
    </w:p>
    <w:p>
      <w:pPr>
        <w:spacing w:line="560" w:lineRule="exact"/>
        <w:jc w:val="center"/>
        <w:rPr>
          <w:rFonts w:ascii="Times New Roman" w:hAnsi="Times New Roman" w:eastAsia="楷体_GB2312"/>
          <w:b/>
          <w:bCs/>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93" w:name="_Toc6222"/>
      <w:bookmarkStart w:id="94" w:name="_Toc18715"/>
      <w:bookmarkStart w:id="95" w:name="_Toc2032"/>
      <w:r>
        <w:rPr>
          <w:rFonts w:hint="eastAsia" w:ascii="Times New Roman" w:hAnsi="Times New Roman" w:eastAsia="楷体_GB2312"/>
          <w:b/>
          <w:bCs/>
          <w:color w:val="000000"/>
          <w:sz w:val="32"/>
          <w:szCs w:val="32"/>
        </w:rPr>
        <w:t>第一节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野生动植物保护</w:t>
      </w:r>
      <w:bookmarkEnd w:id="93"/>
      <w:bookmarkEnd w:id="94"/>
      <w:bookmarkEnd w:id="95"/>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实施野生动植物资源普查、专项调查，调整重点保护陆生野生动植物名录，建立野生植物资源档案，加强秦岭珍稀野生动植物和古树名木群落保</w:t>
      </w:r>
      <w:r>
        <w:rPr>
          <w:rFonts w:hint="eastAsia" w:ascii="Times New Roman" w:hAnsi="Times New Roman" w:eastAsia="仿宋_GB2312"/>
          <w:color w:val="000000"/>
          <w:spacing w:val="6"/>
          <w:sz w:val="32"/>
          <w:szCs w:val="32"/>
        </w:rPr>
        <w:t>护。围绕植物物种的收集、引种驯化、栽培利用，开展组织培养、基因保存等植物多样性迁地保护研究。建立野生动植物保护法学研会。</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组织开展野生动物及其栖息地状况调查、监测和评估，建立健全野生动物及其栖息地档案。在栖息地设置保护设施和标志，构建起</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自然、多彩、连通</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的生态廊道。开展珍稀动物繁殖、疾病防治以及遗传多样性的研究与异地抢救保护工作。</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坚决打击非法猎杀秦岭野生动物的违法犯罪行为，教育引导群众拒食野生动物，增强社会各方保护野生动物的自觉性，保障生物多样性。加强外来入侵物种危害性的公众教育，提高保护和防范意识。</w:t>
      </w:r>
    </w:p>
    <w:p>
      <w:pPr>
        <w:spacing w:line="540" w:lineRule="exact"/>
        <w:jc w:val="center"/>
        <w:rPr>
          <w:rFonts w:ascii="Times New Roman" w:hAnsi="Times New Roman" w:eastAsia="楷体_GB2312"/>
          <w:b/>
          <w:bCs/>
          <w:color w:val="000000"/>
          <w:sz w:val="28"/>
          <w:szCs w:val="28"/>
        </w:rPr>
      </w:pPr>
      <w:r>
        <w:rPr>
          <w:rFonts w:hint="eastAsia" w:ascii="Times New Roman" w:hAnsi="Times New Roman" w:eastAsia="楷体_GB2312"/>
          <w:b/>
          <w:bCs/>
          <w:color w:val="000000"/>
          <w:sz w:val="28"/>
          <w:szCs w:val="28"/>
        </w:rPr>
        <w:t>专栏</w:t>
      </w:r>
      <w:r>
        <w:rPr>
          <w:rFonts w:ascii="Times New Roman" w:hAnsi="Times New Roman" w:eastAsia="楷体_GB2312"/>
          <w:b/>
          <w:bCs/>
          <w:color w:val="000000"/>
          <w:sz w:val="28"/>
          <w:szCs w:val="28"/>
        </w:rPr>
        <w:t xml:space="preserve">8  </w:t>
      </w:r>
      <w:r>
        <w:rPr>
          <w:rFonts w:hint="eastAsia" w:ascii="Times New Roman" w:hAnsi="Times New Roman" w:eastAsia="楷体_GB2312"/>
          <w:b/>
          <w:bCs/>
          <w:color w:val="000000"/>
          <w:sz w:val="28"/>
          <w:szCs w:val="28"/>
        </w:rPr>
        <w:t>野生动植物保护重点工程</w:t>
      </w:r>
    </w:p>
    <w:tbl>
      <w:tblPr>
        <w:tblStyle w:val="7"/>
        <w:tblW w:w="8580"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8580"/>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258" w:hRule="atLeast"/>
          <w:jc w:val="center"/>
        </w:trPr>
        <w:tc>
          <w:tcPr>
            <w:tcW w:w="8580" w:type="dxa"/>
            <w:tcBorders>
              <w:top w:val="single" w:color="auto" w:sz="4" w:space="0"/>
              <w:bottom w:val="single" w:color="auto" w:sz="4" w:space="0"/>
            </w:tcBorders>
            <w:vAlign w:val="center"/>
          </w:tcPr>
          <w:p>
            <w:pPr>
              <w:spacing w:line="360" w:lineRule="exact"/>
              <w:ind w:firstLine="482" w:firstLineChars="200"/>
              <w:rPr>
                <w:rFonts w:ascii="Times New Roman" w:hAnsi="Times New Roman" w:eastAsia="仿宋_GB2312"/>
                <w:color w:val="000000"/>
                <w:sz w:val="24"/>
                <w:szCs w:val="32"/>
              </w:rPr>
            </w:pPr>
            <w:r>
              <w:rPr>
                <w:rFonts w:hint="eastAsia" w:ascii="Times New Roman" w:hAnsi="Times New Roman" w:eastAsia="仿宋_GB2312"/>
                <w:b/>
                <w:color w:val="000000"/>
                <w:sz w:val="24"/>
                <w:szCs w:val="32"/>
              </w:rPr>
              <w:t>珍稀</w:t>
            </w:r>
            <w:r>
              <w:rPr>
                <w:rFonts w:hint="eastAsia" w:ascii="Times New Roman" w:hAnsi="Times New Roman" w:eastAsia="仿宋_GB2312"/>
                <w:b/>
                <w:color w:val="000000"/>
                <w:spacing w:val="-4"/>
                <w:sz w:val="24"/>
                <w:szCs w:val="32"/>
              </w:rPr>
              <w:t>濒危野生动植物资源基地建设。</w:t>
            </w:r>
            <w:r>
              <w:rPr>
                <w:rFonts w:hint="eastAsia" w:ascii="Times New Roman" w:hAnsi="Times New Roman" w:eastAsia="仿宋_GB2312"/>
                <w:color w:val="000000"/>
                <w:spacing w:val="-4"/>
                <w:sz w:val="24"/>
                <w:szCs w:val="32"/>
              </w:rPr>
              <w:t>依据动植物的濒危程度和保护等级，进行分类分级保护，建设秦岭重要生物种群基因库。</w:t>
            </w:r>
          </w:p>
          <w:p>
            <w:pPr>
              <w:spacing w:line="360" w:lineRule="exact"/>
              <w:ind w:firstLine="482" w:firstLineChars="200"/>
              <w:rPr>
                <w:rFonts w:ascii="Times New Roman" w:hAnsi="Times New Roman" w:eastAsia="仿宋_GB2312"/>
                <w:color w:val="000000"/>
                <w:sz w:val="24"/>
                <w:szCs w:val="32"/>
              </w:rPr>
            </w:pPr>
            <w:r>
              <w:rPr>
                <w:rFonts w:hint="eastAsia" w:ascii="Times New Roman" w:hAnsi="Times New Roman" w:eastAsia="仿宋_GB2312"/>
                <w:b/>
                <w:color w:val="000000"/>
                <w:sz w:val="24"/>
                <w:szCs w:val="32"/>
              </w:rPr>
              <w:t>野生动植物保护基地建设。</w:t>
            </w:r>
            <w:r>
              <w:rPr>
                <w:rFonts w:hint="eastAsia" w:ascii="Times New Roman" w:hAnsi="Times New Roman" w:eastAsia="仿宋_GB2312"/>
                <w:color w:val="000000"/>
                <w:sz w:val="24"/>
                <w:szCs w:val="32"/>
              </w:rPr>
              <w:t>定期组织调查、监测和评估，建立秦岭野生动物及其栖息地、保护地档案。围绕植物物种的收集、引种驯化、栽培利用，开展组织培养、基因保存等植物多样性迁地保护。</w:t>
            </w:r>
          </w:p>
          <w:p>
            <w:pPr>
              <w:spacing w:line="360" w:lineRule="exact"/>
              <w:ind w:firstLine="474" w:firstLineChars="200"/>
              <w:rPr>
                <w:rFonts w:ascii="Times New Roman" w:hAnsi="Times New Roman" w:eastAsia="仿宋_GB2312"/>
                <w:color w:val="000000"/>
                <w:spacing w:val="-2"/>
                <w:sz w:val="24"/>
              </w:rPr>
            </w:pPr>
            <w:r>
              <w:rPr>
                <w:rFonts w:hint="eastAsia" w:ascii="Times New Roman" w:hAnsi="Times New Roman" w:eastAsia="仿宋_GB2312"/>
                <w:b/>
                <w:color w:val="000000"/>
                <w:spacing w:val="-2"/>
                <w:sz w:val="24"/>
              </w:rPr>
              <w:t>国家级水产种质资源保护区建设。</w:t>
            </w:r>
            <w:r>
              <w:rPr>
                <w:rFonts w:hint="eastAsia" w:ascii="Times New Roman" w:hAnsi="Times New Roman" w:eastAsia="仿宋_GB2312"/>
                <w:color w:val="000000"/>
                <w:spacing w:val="-2"/>
                <w:sz w:val="24"/>
              </w:rPr>
              <w:t>加大对国家级水产种质资源保护区投入，加强永久性界碑、救护中心、监测站等基础保护设施建设。开展水生生物资源养护、生态修复等工程，实施水生野生动物增殖放流工作。</w:t>
            </w:r>
          </w:p>
        </w:tc>
      </w:tr>
    </w:tbl>
    <w:p>
      <w:pPr>
        <w:spacing w:line="606" w:lineRule="exact"/>
        <w:ind w:firstLine="640" w:firstLineChars="200"/>
        <w:rPr>
          <w:rFonts w:ascii="Times New Roman" w:hAnsi="Times New Roman" w:eastAsia="仿宋_GB2312"/>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96" w:name="_Toc9327"/>
      <w:bookmarkStart w:id="97" w:name="_Toc22813"/>
      <w:bookmarkStart w:id="98" w:name="_Toc9400"/>
      <w:r>
        <w:rPr>
          <w:rFonts w:hint="eastAsia" w:ascii="Times New Roman" w:hAnsi="Times New Roman" w:eastAsia="楷体_GB2312"/>
          <w:b/>
          <w:bCs/>
          <w:color w:val="000000"/>
          <w:sz w:val="32"/>
          <w:szCs w:val="32"/>
        </w:rPr>
        <w:t>第二节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重点生态系统保护</w:t>
      </w:r>
      <w:bookmarkEnd w:id="96"/>
      <w:bookmarkEnd w:id="97"/>
      <w:bookmarkEnd w:id="98"/>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森林生态系统保护。</w:t>
      </w:r>
      <w:r>
        <w:rPr>
          <w:rFonts w:hint="eastAsia" w:ascii="Times New Roman" w:hAnsi="Times New Roman" w:eastAsia="仿宋_GB2312"/>
          <w:color w:val="000000"/>
          <w:sz w:val="32"/>
          <w:szCs w:val="32"/>
        </w:rPr>
        <w:t>加快保护区基础设施与保护能力建设，对破坏区森林生态系统进行修复治理，恢复退化生态系统的功能，努力维护现有各类生态系统功能。加强对森林生态系统水源与植被的动态监测和有害生物的预测预报及防治。利用卫星遥感宏观动态监测森林植被长势，利用气象预报预测、人工影响天气等科技手段，为森林生态系统保护提供基础支撑。</w:t>
      </w:r>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生物物</w:t>
      </w:r>
      <w:r>
        <w:rPr>
          <w:rFonts w:hint="eastAsia" w:ascii="Times New Roman" w:hAnsi="Times New Roman" w:eastAsia="楷体_GB2312"/>
          <w:b/>
          <w:bCs/>
          <w:color w:val="000000"/>
          <w:spacing w:val="-6"/>
          <w:sz w:val="32"/>
          <w:szCs w:val="32"/>
        </w:rPr>
        <w:t>种多样性保护。</w:t>
      </w:r>
      <w:r>
        <w:rPr>
          <w:rFonts w:hint="eastAsia" w:ascii="Times New Roman" w:hAnsi="Times New Roman" w:eastAsia="仿宋_GB2312"/>
          <w:color w:val="000000"/>
          <w:spacing w:val="-6"/>
          <w:sz w:val="32"/>
          <w:szCs w:val="32"/>
        </w:rPr>
        <w:t>建设以自然保护区和森林公园为主体的物种保护体系，大鲵、红豆杉等珍稀动植物种群数量稳中有升，栖息地质量保持稳定。发展完善自然保护区群，构筑适宜的生态廊道，保证重要物种基因交流。建立珍稀物种抢救繁育基地和迁地保护基地，提高迁地保护科技水平。采取就地保护措施，建立珍稀植物保护小区。采集种子、枝条、生命幼体，进行人</w:t>
      </w:r>
      <w:r>
        <w:rPr>
          <w:rFonts w:hint="eastAsia" w:ascii="Times New Roman" w:hAnsi="Times New Roman" w:eastAsia="仿宋_GB2312"/>
          <w:color w:val="000000"/>
          <w:spacing w:val="-11"/>
          <w:sz w:val="32"/>
          <w:szCs w:val="32"/>
        </w:rPr>
        <w:t>工库存保护，打造珍稀植物及种质资源重要保护基地。加大水生动物资源保护力度，做好增殖放流等工作。</w:t>
      </w:r>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生物遗传多样性保护。</w:t>
      </w:r>
      <w:r>
        <w:rPr>
          <w:rFonts w:hint="eastAsia" w:ascii="Times New Roman" w:hAnsi="Times New Roman" w:eastAsia="仿宋_GB2312"/>
          <w:color w:val="000000"/>
          <w:sz w:val="32"/>
          <w:szCs w:val="32"/>
        </w:rPr>
        <w:t>利用省珍稀野生动物抢救饲养研究中心、秦岭大熊猫研究中心和秦岭野生动物园等在珍稀濒危野生动物迁地保护中的作用，加强生物遗传多样性保护。</w:t>
      </w:r>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城市生物多样性保护。</w:t>
      </w:r>
      <w:r>
        <w:rPr>
          <w:rFonts w:hint="eastAsia" w:ascii="Times New Roman" w:hAnsi="Times New Roman" w:eastAsia="仿宋_GB2312"/>
          <w:color w:val="000000"/>
          <w:sz w:val="32"/>
          <w:szCs w:val="32"/>
        </w:rPr>
        <w:t>严格保护城市现有绿化成果，持续开展园林绿化养护，加强城镇绿地科学规划设计，增加单位绿地生物量，积极推广城市立体绿化，提倡城市绿化应用乡土植物，加强城市古树名木、濒危珍惜物种保护。</w:t>
      </w:r>
    </w:p>
    <w:p>
      <w:pPr>
        <w:spacing w:beforeLines="50" w:afterLines="50" w:line="606" w:lineRule="exact"/>
        <w:jc w:val="center"/>
        <w:rPr>
          <w:rFonts w:ascii="Times New Roman" w:hAnsi="Times New Roman" w:eastAsia="楷体_GB2312"/>
          <w:b/>
          <w:bCs/>
          <w:color w:val="000000"/>
          <w:sz w:val="28"/>
          <w:szCs w:val="28"/>
        </w:rPr>
      </w:pPr>
      <w:r>
        <w:rPr>
          <w:rFonts w:hint="eastAsia" w:ascii="Times New Roman" w:hAnsi="Times New Roman" w:eastAsia="楷体_GB2312"/>
          <w:b/>
          <w:bCs/>
          <w:color w:val="000000"/>
          <w:sz w:val="28"/>
          <w:szCs w:val="28"/>
        </w:rPr>
        <w:t>专栏</w:t>
      </w:r>
      <w:r>
        <w:rPr>
          <w:rFonts w:ascii="Times New Roman" w:hAnsi="Times New Roman" w:eastAsia="楷体_GB2312"/>
          <w:b/>
          <w:bCs/>
          <w:color w:val="000000"/>
          <w:sz w:val="28"/>
          <w:szCs w:val="28"/>
        </w:rPr>
        <w:t xml:space="preserve">9  </w:t>
      </w:r>
      <w:r>
        <w:rPr>
          <w:rFonts w:hint="eastAsia" w:ascii="Times New Roman" w:hAnsi="Times New Roman" w:eastAsia="楷体_GB2312"/>
          <w:b/>
          <w:bCs/>
          <w:color w:val="000000"/>
          <w:sz w:val="28"/>
          <w:szCs w:val="28"/>
        </w:rPr>
        <w:t>重点生态系统保护工程</w:t>
      </w:r>
    </w:p>
    <w:tbl>
      <w:tblPr>
        <w:tblStyle w:val="7"/>
        <w:tblW w:w="85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7" w:hRule="atLeast"/>
          <w:jc w:val="center"/>
        </w:trPr>
        <w:tc>
          <w:tcPr>
            <w:tcW w:w="8580" w:type="dxa"/>
            <w:vAlign w:val="center"/>
          </w:tcPr>
          <w:p>
            <w:pPr>
              <w:spacing w:line="420" w:lineRule="exact"/>
              <w:ind w:firstLine="482" w:firstLineChars="200"/>
              <w:rPr>
                <w:rFonts w:ascii="Times New Roman" w:hAnsi="Times New Roman" w:eastAsia="仿宋_GB2312"/>
                <w:color w:val="000000"/>
                <w:sz w:val="24"/>
              </w:rPr>
            </w:pPr>
            <w:r>
              <w:rPr>
                <w:rFonts w:hint="eastAsia" w:ascii="Times New Roman" w:hAnsi="Times New Roman" w:eastAsia="仿宋_GB2312"/>
                <w:b/>
                <w:bCs/>
                <w:color w:val="000000"/>
                <w:sz w:val="24"/>
              </w:rPr>
              <w:t>森林生态系统保护与建设工程。</w:t>
            </w:r>
            <w:r>
              <w:rPr>
                <w:rFonts w:hint="eastAsia" w:ascii="Times New Roman" w:hAnsi="Times New Roman" w:eastAsia="仿宋_GB2312"/>
                <w:color w:val="000000"/>
                <w:sz w:val="24"/>
              </w:rPr>
              <w:t>实施国家经济储备林项目、森林消防队伍建设工程，以及重点防护林、天保工程公益林、飞播造林、退耕还林，开展人工造林、森林抚育、封山育林、绿化美化、经济林种植等工程。</w:t>
            </w:r>
          </w:p>
          <w:p>
            <w:pPr>
              <w:spacing w:line="420" w:lineRule="exact"/>
              <w:ind w:firstLine="482" w:firstLineChars="200"/>
              <w:rPr>
                <w:rFonts w:ascii="Times New Roman" w:hAnsi="Times New Roman" w:eastAsia="仿宋_GB2312"/>
                <w:color w:val="000000"/>
                <w:sz w:val="24"/>
              </w:rPr>
            </w:pPr>
            <w:r>
              <w:rPr>
                <w:rFonts w:hint="eastAsia" w:ascii="Times New Roman" w:hAnsi="Times New Roman" w:eastAsia="仿宋_GB2312"/>
                <w:b/>
                <w:bCs/>
                <w:color w:val="000000"/>
                <w:sz w:val="24"/>
              </w:rPr>
              <w:t>秦岭生态监测服务工程。</w:t>
            </w:r>
            <w:r>
              <w:rPr>
                <w:rFonts w:hint="eastAsia" w:ascii="Times New Roman" w:hAnsi="Times New Roman" w:eastAsia="仿宋_GB2312"/>
                <w:color w:val="000000"/>
                <w:sz w:val="24"/>
              </w:rPr>
              <w:t>实施秦岭生态监测服务系统项目，建设秦岭生态系统定位观测研究站和野外观测站。</w:t>
            </w:r>
          </w:p>
          <w:p>
            <w:pPr>
              <w:pStyle w:val="2"/>
              <w:ind w:firstLine="474" w:firstLineChars="200"/>
              <w:rPr>
                <w:rFonts w:ascii="Times New Roman" w:hAnsi="Times New Roman" w:eastAsia="仿宋_GB2312"/>
                <w:color w:val="000000"/>
              </w:rPr>
            </w:pPr>
            <w:r>
              <w:rPr>
                <w:rFonts w:hint="eastAsia" w:ascii="Times New Roman" w:hAnsi="Times New Roman" w:eastAsia="仿宋_GB2312"/>
                <w:b/>
                <w:color w:val="000000"/>
                <w:spacing w:val="-2"/>
                <w:sz w:val="24"/>
              </w:rPr>
              <w:t>秦岭红豆杉保护项目。</w:t>
            </w:r>
            <w:r>
              <w:rPr>
                <w:rFonts w:hint="eastAsia" w:ascii="Times New Roman" w:hAnsi="Times New Roman" w:eastAsia="仿宋_GB2312"/>
                <w:color w:val="000000"/>
                <w:spacing w:val="-2"/>
                <w:sz w:val="24"/>
              </w:rPr>
              <w:t>实施人工林繁育、栽培，争取国家</w:t>
            </w:r>
            <w:r>
              <w:rPr>
                <w:rFonts w:ascii="Times New Roman" w:hAnsi="Times New Roman" w:eastAsia="仿宋_GB2312"/>
                <w:color w:val="000000"/>
                <w:spacing w:val="-2"/>
                <w:sz w:val="24"/>
              </w:rPr>
              <w:t>GPA</w:t>
            </w:r>
            <w:r>
              <w:rPr>
                <w:rFonts w:hint="eastAsia" w:ascii="Times New Roman" w:hAnsi="Times New Roman" w:eastAsia="仿宋_GB2312"/>
                <w:color w:val="000000"/>
                <w:spacing w:val="-2"/>
                <w:sz w:val="24"/>
              </w:rPr>
              <w:t>认证。</w:t>
            </w:r>
          </w:p>
        </w:tc>
      </w:tr>
    </w:tbl>
    <w:p>
      <w:pPr>
        <w:spacing w:line="606" w:lineRule="exact"/>
        <w:ind w:firstLine="643" w:firstLineChars="200"/>
        <w:rPr>
          <w:rFonts w:ascii="Times New Roman" w:hAnsi="Times New Roman" w:eastAsia="仿宋_GB2312"/>
          <w:b/>
          <w:bCs/>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99" w:name="_Toc19864"/>
      <w:bookmarkStart w:id="100" w:name="_Toc4422"/>
      <w:bookmarkStart w:id="101" w:name="_Toc32559"/>
      <w:r>
        <w:rPr>
          <w:rFonts w:hint="eastAsia" w:ascii="Times New Roman" w:hAnsi="Times New Roman" w:eastAsia="楷体_GB2312"/>
          <w:b/>
          <w:bCs/>
          <w:color w:val="000000"/>
          <w:sz w:val="32"/>
          <w:szCs w:val="32"/>
        </w:rPr>
        <w:t>第三节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湿地保护</w:t>
      </w:r>
      <w:bookmarkEnd w:id="99"/>
      <w:bookmarkEnd w:id="100"/>
      <w:bookmarkEnd w:id="101"/>
    </w:p>
    <w:p>
      <w:pPr>
        <w:spacing w:line="560" w:lineRule="exact"/>
        <w:ind w:firstLine="640" w:firstLineChars="200"/>
        <w:rPr>
          <w:rFonts w:ascii="Times New Roman" w:hAnsi="Times New Roman" w:eastAsia="仿宋_GB2312"/>
          <w:color w:val="000000"/>
          <w:spacing w:val="-6"/>
          <w:sz w:val="32"/>
          <w:szCs w:val="32"/>
        </w:rPr>
      </w:pPr>
      <w:r>
        <w:rPr>
          <w:rFonts w:hint="eastAsia" w:ascii="Times New Roman" w:hAnsi="Times New Roman" w:eastAsia="仿宋_GB2312"/>
          <w:color w:val="000000"/>
          <w:sz w:val="32"/>
          <w:szCs w:val="32"/>
        </w:rPr>
        <w:t>全面开展洛河重要湿地保护，对自然湿地和具有重</w:t>
      </w:r>
      <w:r>
        <w:rPr>
          <w:rFonts w:hint="eastAsia" w:ascii="Times New Roman" w:hAnsi="Times New Roman" w:eastAsia="仿宋_GB2312"/>
          <w:color w:val="000000"/>
          <w:spacing w:val="-6"/>
          <w:sz w:val="32"/>
          <w:szCs w:val="32"/>
        </w:rPr>
        <w:t>要生态价值的人工湿地，实行优先保护和修复，对生态地位重要或遭受严重破坏的自然湿地实施抢救性保护，加快推进已批建湿地类型自然保护地建设力度。开展退化湿地生态恢复、栖息地恢复等工程建设，逐步改善湿地生态状况。</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到</w:t>
      </w:r>
      <w:r>
        <w:rPr>
          <w:rFonts w:ascii="Times New Roman" w:hAnsi="Times New Roman" w:eastAsia="仿宋_GB2312"/>
          <w:color w:val="000000"/>
          <w:sz w:val="32"/>
          <w:szCs w:val="32"/>
        </w:rPr>
        <w:t>2025</w:t>
      </w:r>
      <w:r>
        <w:rPr>
          <w:rFonts w:hint="eastAsia" w:ascii="Times New Roman" w:hAnsi="Times New Roman" w:eastAsia="仿宋_GB2312"/>
          <w:color w:val="000000"/>
          <w:sz w:val="32"/>
          <w:szCs w:val="32"/>
        </w:rPr>
        <w:t>年，逐步提高湿地保护管理能力和水平，湿地生态系统和重要湿地物种栖息地环境得到改善，秦岭湿地保护成效初显。到</w:t>
      </w:r>
      <w:r>
        <w:rPr>
          <w:rFonts w:ascii="Times New Roman" w:hAnsi="Times New Roman" w:eastAsia="仿宋_GB2312"/>
          <w:color w:val="000000"/>
          <w:sz w:val="32"/>
          <w:szCs w:val="32"/>
        </w:rPr>
        <w:t>2035</w:t>
      </w:r>
      <w:r>
        <w:rPr>
          <w:rFonts w:hint="eastAsia" w:ascii="Times New Roman" w:hAnsi="Times New Roman" w:eastAsia="仿宋_GB2312"/>
          <w:color w:val="000000"/>
          <w:sz w:val="32"/>
          <w:szCs w:val="32"/>
        </w:rPr>
        <w:t>年，建立健全政府主导、社会参与、联合共管的湿地保护长效机制，逐步形成较为完善的湿地保护管理、科研和监测体系。</w:t>
      </w:r>
    </w:p>
    <w:p>
      <w:pPr>
        <w:spacing w:beforeLines="50" w:afterLines="50" w:line="606" w:lineRule="exact"/>
        <w:jc w:val="center"/>
        <w:rPr>
          <w:rFonts w:ascii="Times New Roman" w:hAnsi="Times New Roman" w:eastAsia="楷体_GB2312"/>
          <w:b/>
          <w:bCs/>
          <w:color w:val="000000"/>
          <w:sz w:val="28"/>
          <w:szCs w:val="28"/>
        </w:rPr>
      </w:pPr>
      <w:r>
        <w:rPr>
          <w:rFonts w:hint="eastAsia" w:ascii="Times New Roman" w:hAnsi="Times New Roman" w:eastAsia="楷体_GB2312"/>
          <w:b/>
          <w:bCs/>
          <w:color w:val="000000"/>
          <w:sz w:val="28"/>
          <w:szCs w:val="28"/>
        </w:rPr>
        <w:t>专栏</w:t>
      </w:r>
      <w:r>
        <w:rPr>
          <w:rFonts w:ascii="Times New Roman" w:hAnsi="Times New Roman" w:eastAsia="楷体_GB2312"/>
          <w:b/>
          <w:bCs/>
          <w:color w:val="000000"/>
          <w:sz w:val="28"/>
          <w:szCs w:val="28"/>
        </w:rPr>
        <w:t xml:space="preserve">10 </w:t>
      </w:r>
      <w:r>
        <w:rPr>
          <w:rFonts w:hint="eastAsia" w:ascii="Times New Roman" w:hAnsi="Times New Roman" w:eastAsia="楷体_GB2312"/>
          <w:b/>
          <w:bCs/>
          <w:color w:val="000000"/>
          <w:sz w:val="28"/>
          <w:szCs w:val="28"/>
        </w:rPr>
        <w:t>湿地保护重点工程</w:t>
      </w:r>
    </w:p>
    <w:tbl>
      <w:tblPr>
        <w:tblStyle w:val="7"/>
        <w:tblW w:w="8854" w:type="dxa"/>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0" w:type="dxa"/>
          <w:bottom w:w="0" w:type="dxa"/>
          <w:right w:w="0" w:type="dxa"/>
        </w:tblCellMar>
      </w:tblPr>
      <w:tblGrid>
        <w:gridCol w:w="8854"/>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5795" w:hRule="atLeast"/>
        </w:trPr>
        <w:tc>
          <w:tcPr>
            <w:tcW w:w="8854" w:type="dxa"/>
            <w:tcBorders>
              <w:top w:val="single" w:color="auto" w:sz="4" w:space="0"/>
              <w:bottom w:val="single" w:color="auto" w:sz="4" w:space="0"/>
            </w:tcBorders>
            <w:vAlign w:val="center"/>
          </w:tcPr>
          <w:p>
            <w:pPr>
              <w:spacing w:line="404" w:lineRule="exact"/>
              <w:ind w:firstLine="482" w:firstLineChars="200"/>
              <w:rPr>
                <w:rFonts w:ascii="Times New Roman" w:hAnsi="Times New Roman" w:eastAsia="仿宋_GB2312"/>
                <w:color w:val="000000"/>
                <w:sz w:val="24"/>
                <w:szCs w:val="32"/>
              </w:rPr>
            </w:pPr>
            <w:r>
              <w:rPr>
                <w:rFonts w:hint="eastAsia" w:ascii="Times New Roman" w:hAnsi="Times New Roman" w:eastAsia="仿宋_GB2312"/>
                <w:b/>
                <w:color w:val="000000"/>
                <w:sz w:val="24"/>
                <w:szCs w:val="32"/>
              </w:rPr>
              <w:t>重</w:t>
            </w:r>
            <w:r>
              <w:rPr>
                <w:rFonts w:hint="eastAsia" w:ascii="Times New Roman" w:hAnsi="Times New Roman" w:eastAsia="仿宋_GB2312"/>
                <w:b/>
                <w:color w:val="000000"/>
                <w:spacing w:val="-4"/>
                <w:sz w:val="24"/>
                <w:szCs w:val="32"/>
              </w:rPr>
              <w:t>要河流湿地保护工程。</w:t>
            </w:r>
            <w:r>
              <w:rPr>
                <w:rFonts w:hint="eastAsia" w:ascii="Times New Roman" w:hAnsi="Times New Roman" w:eastAsia="仿宋_GB2312"/>
                <w:color w:val="000000"/>
                <w:spacing w:val="-4"/>
                <w:sz w:val="24"/>
                <w:szCs w:val="32"/>
              </w:rPr>
              <w:t>实施洛河综合整治工程，水系联通整治、河岸坡整治、河道综合治理、湿地公园等工程。</w:t>
            </w:r>
          </w:p>
          <w:p>
            <w:pPr>
              <w:spacing w:line="404" w:lineRule="exact"/>
              <w:ind w:firstLine="482" w:firstLineChars="200"/>
              <w:rPr>
                <w:rFonts w:ascii="Times New Roman" w:hAnsi="Times New Roman" w:eastAsia="仿宋_GB2312"/>
                <w:color w:val="000000"/>
                <w:spacing w:val="-6"/>
                <w:sz w:val="24"/>
                <w:szCs w:val="32"/>
              </w:rPr>
            </w:pPr>
            <w:r>
              <w:rPr>
                <w:rFonts w:hint="eastAsia" w:ascii="Times New Roman" w:hAnsi="Times New Roman" w:eastAsia="仿宋_GB2312"/>
                <w:b/>
                <w:color w:val="000000"/>
                <w:sz w:val="24"/>
                <w:szCs w:val="32"/>
              </w:rPr>
              <w:t>加大湿地保护力度。</w:t>
            </w:r>
            <w:r>
              <w:rPr>
                <w:rFonts w:hint="eastAsia" w:ascii="Times New Roman" w:hAnsi="Times New Roman" w:eastAsia="仿宋_GB2312"/>
                <w:color w:val="000000"/>
                <w:sz w:val="24"/>
                <w:szCs w:val="32"/>
              </w:rPr>
              <w:t>将湿地按照河流湿地、沼泽湿地、人工湿地等不同类型和生态重要性程度，进行分类分级保护和修复。禁止在湿地开垦、填埋或者排干湿地，永久性截断湿地水源，挖沙、采矿，倾倒有毒有害物质、废弃物、垃圾，破坏野生动物栖息地和迁徙通道、鱼类洄游通道，滥采滥捕野生动</w:t>
            </w:r>
            <w:r>
              <w:rPr>
                <w:rFonts w:hint="eastAsia" w:ascii="Times New Roman" w:hAnsi="Times New Roman" w:eastAsia="仿宋_GB2312"/>
                <w:color w:val="000000"/>
                <w:spacing w:val="-6"/>
                <w:sz w:val="24"/>
                <w:szCs w:val="32"/>
              </w:rPr>
              <w:t>植物，引进外来物种，擅自放牧、捕捞、取土、取水、排污、放生和其他破坏湿地及其生态功能的活动。</w:t>
            </w:r>
          </w:p>
          <w:p>
            <w:pPr>
              <w:spacing w:line="404" w:lineRule="exact"/>
              <w:ind w:firstLine="458" w:firstLineChars="200"/>
              <w:rPr>
                <w:rFonts w:ascii="Times New Roman" w:hAnsi="Times New Roman" w:eastAsia="仿宋_GB2312"/>
                <w:color w:val="000000"/>
                <w:spacing w:val="-6"/>
                <w:sz w:val="24"/>
                <w:szCs w:val="32"/>
              </w:rPr>
            </w:pPr>
            <w:r>
              <w:rPr>
                <w:rFonts w:hint="eastAsia" w:ascii="Times New Roman" w:hAnsi="Times New Roman" w:eastAsia="仿宋_GB2312"/>
                <w:b/>
                <w:color w:val="000000"/>
                <w:spacing w:val="-6"/>
                <w:sz w:val="24"/>
                <w:szCs w:val="32"/>
              </w:rPr>
              <w:t>健全湿地保护制度。</w:t>
            </w:r>
            <w:r>
              <w:rPr>
                <w:rFonts w:hint="eastAsia" w:ascii="Times New Roman" w:hAnsi="Times New Roman" w:eastAsia="仿宋_GB2312"/>
                <w:color w:val="000000"/>
                <w:spacing w:val="-6"/>
                <w:sz w:val="24"/>
                <w:szCs w:val="32"/>
              </w:rPr>
              <w:t>结合湿地资源现状，采取湿地自然保护区、湿地公园、湿地保护小区等方式保护湿地，健全湿地保护管理机构和管理制度，完善湿地保护体系，加强湿地保护。</w:t>
            </w:r>
          </w:p>
          <w:p>
            <w:pPr>
              <w:spacing w:line="404" w:lineRule="exact"/>
              <w:ind w:firstLine="458" w:firstLineChars="200"/>
              <w:rPr>
                <w:rFonts w:ascii="Times New Roman" w:hAnsi="Times New Roman" w:eastAsia="仿宋_GB2312"/>
                <w:color w:val="000000"/>
                <w:spacing w:val="-2"/>
                <w:sz w:val="24"/>
              </w:rPr>
            </w:pPr>
            <w:r>
              <w:rPr>
                <w:rFonts w:hint="eastAsia" w:ascii="Times New Roman" w:hAnsi="Times New Roman" w:eastAsia="仿宋_GB2312"/>
                <w:b/>
                <w:color w:val="000000"/>
                <w:spacing w:val="-6"/>
                <w:sz w:val="24"/>
                <w:szCs w:val="32"/>
              </w:rPr>
              <w:t>实施退化湿地恢复。</w:t>
            </w:r>
            <w:r>
              <w:rPr>
                <w:rFonts w:hint="eastAsia" w:ascii="Times New Roman" w:hAnsi="Times New Roman" w:eastAsia="仿宋_GB2312"/>
                <w:color w:val="000000"/>
                <w:spacing w:val="-6"/>
                <w:sz w:val="24"/>
                <w:szCs w:val="32"/>
              </w:rPr>
              <w:t>在重要生态区域探索建设具有综合功能和示范意义的小微湿地。对受损退化湿地、濒危物种栖息地的关键区域，采取栖息地恢复、地形整理等措施，恢复河流湿地地貌和植被，修复受损湿地生态系统，维护生物多样性。</w:t>
            </w:r>
          </w:p>
        </w:tc>
      </w:tr>
    </w:tbl>
    <w:p>
      <w:pPr>
        <w:spacing w:line="606" w:lineRule="exact"/>
        <w:ind w:firstLine="640" w:firstLineChars="200"/>
        <w:rPr>
          <w:rFonts w:ascii="Times New Roman" w:hAnsi="Times New Roman" w:eastAsia="仿宋_GB2312"/>
          <w:color w:val="000000"/>
          <w:sz w:val="32"/>
          <w:szCs w:val="32"/>
        </w:rPr>
      </w:pPr>
    </w:p>
    <w:p>
      <w:pPr>
        <w:spacing w:line="606" w:lineRule="exact"/>
        <w:jc w:val="center"/>
        <w:outlineLvl w:val="1"/>
        <w:rPr>
          <w:rFonts w:ascii="Times New Roman" w:hAnsi="Times New Roman" w:eastAsia="楷体_GB2312"/>
          <w:b/>
          <w:bCs/>
          <w:color w:val="000000"/>
          <w:sz w:val="32"/>
          <w:szCs w:val="32"/>
        </w:rPr>
      </w:pPr>
      <w:bookmarkStart w:id="102" w:name="_Toc12013"/>
      <w:bookmarkStart w:id="103" w:name="_Toc32220"/>
      <w:bookmarkStart w:id="104" w:name="_Toc15899"/>
      <w:r>
        <w:rPr>
          <w:rFonts w:hint="eastAsia" w:ascii="Times New Roman" w:hAnsi="Times New Roman" w:eastAsia="楷体_GB2312"/>
          <w:b/>
          <w:bCs/>
          <w:color w:val="000000"/>
          <w:sz w:val="32"/>
          <w:szCs w:val="32"/>
        </w:rPr>
        <w:t>第四节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林业有害生物防治</w:t>
      </w:r>
      <w:bookmarkEnd w:id="102"/>
      <w:bookmarkEnd w:id="103"/>
      <w:bookmarkEnd w:id="104"/>
    </w:p>
    <w:p>
      <w:pPr>
        <w:spacing w:line="58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加大林业有害生物、外来物种防控力度，重点防控松材线虫病等重大生态安全风险，减少林木损失。到</w:t>
      </w:r>
      <w:r>
        <w:rPr>
          <w:rFonts w:ascii="Times New Roman" w:hAnsi="Times New Roman" w:eastAsia="仿宋_GB2312"/>
          <w:color w:val="000000"/>
          <w:sz w:val="32"/>
          <w:szCs w:val="32"/>
        </w:rPr>
        <w:t>2025</w:t>
      </w:r>
      <w:r>
        <w:rPr>
          <w:rFonts w:hint="eastAsia" w:ascii="Times New Roman" w:hAnsi="Times New Roman" w:eastAsia="仿宋_GB2312"/>
          <w:color w:val="000000"/>
          <w:sz w:val="32"/>
          <w:szCs w:val="32"/>
        </w:rPr>
        <w:t>年，林业有害生物成灾率控制在</w:t>
      </w:r>
      <w:r>
        <w:rPr>
          <w:rFonts w:ascii="Times New Roman" w:hAnsi="Times New Roman" w:eastAsia="仿宋_GB2312"/>
          <w:color w:val="000000"/>
          <w:sz w:val="32"/>
          <w:szCs w:val="32"/>
        </w:rPr>
        <w:t>4.5‰</w:t>
      </w:r>
      <w:r>
        <w:rPr>
          <w:rFonts w:hint="eastAsia" w:ascii="Times New Roman" w:hAnsi="Times New Roman" w:eastAsia="仿宋_GB2312"/>
          <w:color w:val="000000"/>
          <w:sz w:val="32"/>
          <w:szCs w:val="32"/>
        </w:rPr>
        <w:t>以内。</w:t>
      </w:r>
    </w:p>
    <w:p>
      <w:pPr>
        <w:spacing w:line="58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经农业农村、林业行政主管部门确定为植物检疫对象的，应当依法划定疫区和保护区，采取封锁、消灭等措施，防止植物检疫对象传出、传入。对可能造成疫情蔓延的染疫植物，应当及时清除。农业农村、林业行政主管部门应当加强对病虫害、有害生物的监测和检疫，及时通报相关信息，依法采取措施做好防护工作，防止病虫害、有害生物的侵入和蔓延。加强对松材线虫病检疫监管基础设施建设，提高对松材线虫病的检疫监管、检验鉴定和除害处理能力，遏止松材线虫病快速蔓延态势。</w:t>
      </w:r>
    </w:p>
    <w:p>
      <w:pPr>
        <w:spacing w:beforeLines="50" w:afterLines="50" w:line="606" w:lineRule="exact"/>
        <w:jc w:val="center"/>
        <w:rPr>
          <w:rFonts w:ascii="Times New Roman" w:hAnsi="Times New Roman" w:eastAsia="楷体_GB2312"/>
          <w:b/>
          <w:bCs/>
          <w:color w:val="000000"/>
          <w:sz w:val="28"/>
          <w:szCs w:val="28"/>
        </w:rPr>
      </w:pPr>
      <w:r>
        <w:rPr>
          <w:rFonts w:hint="eastAsia" w:ascii="Times New Roman" w:hAnsi="Times New Roman" w:eastAsia="楷体_GB2312"/>
          <w:b/>
          <w:bCs/>
          <w:color w:val="000000"/>
          <w:sz w:val="28"/>
          <w:szCs w:val="28"/>
        </w:rPr>
        <w:t>专栏</w:t>
      </w:r>
      <w:r>
        <w:rPr>
          <w:rFonts w:ascii="Times New Roman" w:hAnsi="Times New Roman" w:eastAsia="楷体_GB2312"/>
          <w:b/>
          <w:bCs/>
          <w:color w:val="000000"/>
          <w:sz w:val="28"/>
          <w:szCs w:val="28"/>
        </w:rPr>
        <w:t xml:space="preserve">11  </w:t>
      </w:r>
      <w:r>
        <w:rPr>
          <w:rFonts w:hint="eastAsia" w:ascii="Times New Roman" w:hAnsi="Times New Roman" w:eastAsia="楷体_GB2312"/>
          <w:b/>
          <w:bCs/>
          <w:color w:val="000000"/>
          <w:sz w:val="28"/>
          <w:szCs w:val="28"/>
        </w:rPr>
        <w:t>林业有害生物防治重点工程</w:t>
      </w:r>
    </w:p>
    <w:tbl>
      <w:tblPr>
        <w:tblStyle w:val="7"/>
        <w:tblW w:w="8620"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8620"/>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822" w:hRule="atLeast"/>
          <w:jc w:val="center"/>
        </w:trPr>
        <w:tc>
          <w:tcPr>
            <w:tcW w:w="8620" w:type="dxa"/>
            <w:tcBorders>
              <w:top w:val="single" w:color="auto" w:sz="4" w:space="0"/>
              <w:bottom w:val="single" w:color="auto" w:sz="4" w:space="0"/>
            </w:tcBorders>
            <w:vAlign w:val="center"/>
          </w:tcPr>
          <w:p>
            <w:pPr>
              <w:spacing w:line="400" w:lineRule="exact"/>
              <w:ind w:firstLine="482" w:firstLineChars="200"/>
              <w:rPr>
                <w:rFonts w:ascii="Times New Roman" w:hAnsi="Times New Roman" w:eastAsia="仿宋_GB2312"/>
                <w:color w:val="000000"/>
                <w:spacing w:val="-8"/>
                <w:sz w:val="24"/>
                <w:szCs w:val="32"/>
              </w:rPr>
            </w:pPr>
            <w:r>
              <w:rPr>
                <w:rFonts w:hint="eastAsia" w:ascii="Times New Roman" w:hAnsi="Times New Roman" w:eastAsia="仿宋_GB2312"/>
                <w:b/>
                <w:color w:val="000000"/>
                <w:sz w:val="24"/>
                <w:szCs w:val="32"/>
              </w:rPr>
              <w:t>林业有害生物</w:t>
            </w:r>
            <w:r>
              <w:rPr>
                <w:rFonts w:hint="eastAsia" w:ascii="Times New Roman" w:hAnsi="Times New Roman" w:eastAsia="仿宋_GB2312"/>
                <w:b/>
                <w:color w:val="000000"/>
                <w:spacing w:val="-8"/>
                <w:sz w:val="24"/>
                <w:szCs w:val="32"/>
              </w:rPr>
              <w:t>预警指挥体系建设。</w:t>
            </w:r>
            <w:r>
              <w:rPr>
                <w:rFonts w:hint="eastAsia" w:ascii="Times New Roman" w:hAnsi="Times New Roman" w:eastAsia="仿宋_GB2312"/>
                <w:color w:val="000000"/>
                <w:spacing w:val="-8"/>
                <w:sz w:val="24"/>
                <w:szCs w:val="32"/>
              </w:rPr>
              <w:t>建设林业有害生物监测预警系统，林业有害生物防控指挥系统，健全县应急防控体系，完善道路检疫检查站等检疫封锁体系。</w:t>
            </w:r>
          </w:p>
          <w:p>
            <w:pPr>
              <w:spacing w:line="400" w:lineRule="exact"/>
              <w:ind w:firstLine="482" w:firstLineChars="200"/>
              <w:rPr>
                <w:rFonts w:ascii="Times New Roman" w:hAnsi="Times New Roman" w:eastAsia="仿宋_GB2312"/>
                <w:color w:val="000000"/>
                <w:sz w:val="24"/>
                <w:szCs w:val="32"/>
              </w:rPr>
            </w:pPr>
            <w:r>
              <w:rPr>
                <w:rFonts w:hint="eastAsia" w:ascii="Times New Roman" w:hAnsi="Times New Roman" w:eastAsia="仿宋_GB2312"/>
                <w:b/>
                <w:color w:val="000000"/>
                <w:sz w:val="24"/>
                <w:szCs w:val="32"/>
              </w:rPr>
              <w:t>林业有害生物防治体制建设。</w:t>
            </w:r>
            <w:r>
              <w:rPr>
                <w:rFonts w:hint="eastAsia" w:ascii="Times New Roman" w:hAnsi="Times New Roman" w:eastAsia="仿宋_GB2312"/>
                <w:color w:val="000000"/>
                <w:sz w:val="24"/>
                <w:szCs w:val="32"/>
              </w:rPr>
              <w:t>积极探索松材线虫病防治工作体制，制定科学合理的除治方案，鼓励具有专业资质的防治公司，通过公开招标的方式，进行社会化防治。进一步提高除治质量，达到群防群治的效果，保障松林资源和生态环境安全。</w:t>
            </w:r>
          </w:p>
          <w:p>
            <w:pPr>
              <w:spacing w:line="400" w:lineRule="exact"/>
              <w:ind w:firstLine="482" w:firstLineChars="200"/>
              <w:rPr>
                <w:rFonts w:ascii="Times New Roman" w:hAnsi="Times New Roman" w:eastAsia="仿宋_GB2312"/>
                <w:color w:val="000000"/>
                <w:spacing w:val="-2"/>
                <w:sz w:val="24"/>
              </w:rPr>
            </w:pPr>
            <w:r>
              <w:rPr>
                <w:rFonts w:hint="eastAsia" w:ascii="Times New Roman" w:hAnsi="Times New Roman" w:eastAsia="仿宋_GB2312"/>
                <w:b/>
                <w:color w:val="000000"/>
                <w:sz w:val="24"/>
                <w:szCs w:val="32"/>
              </w:rPr>
              <w:t>林业有害生物应急队伍建设。</w:t>
            </w:r>
            <w:r>
              <w:rPr>
                <w:rFonts w:hint="eastAsia" w:ascii="Times New Roman" w:hAnsi="Times New Roman" w:eastAsia="仿宋_GB2312"/>
                <w:color w:val="000000"/>
                <w:sz w:val="24"/>
                <w:szCs w:val="32"/>
              </w:rPr>
              <w:t>组建应急防治队伍，加大应急防治设备、药剂储备。定期开展防治技能培训和应急演练，提高林业有害生物灾害防控能力。</w:t>
            </w:r>
          </w:p>
        </w:tc>
      </w:tr>
    </w:tbl>
    <w:p>
      <w:pPr>
        <w:spacing w:line="580" w:lineRule="exact"/>
        <w:jc w:val="center"/>
        <w:rPr>
          <w:rFonts w:ascii="Times New Roman" w:hAnsi="Times New Roman" w:eastAsia="楷体_GB2312"/>
          <w:b/>
          <w:bCs/>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105" w:name="_Toc12999"/>
      <w:bookmarkStart w:id="106" w:name="_Toc28175"/>
      <w:bookmarkStart w:id="107" w:name="_Toc18310"/>
      <w:r>
        <w:rPr>
          <w:rFonts w:hint="eastAsia" w:ascii="Times New Roman" w:hAnsi="Times New Roman" w:eastAsia="楷体_GB2312"/>
          <w:b/>
          <w:bCs/>
          <w:color w:val="000000"/>
          <w:sz w:val="32"/>
          <w:szCs w:val="32"/>
        </w:rPr>
        <w:t>第五节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自然保护地体系建设</w:t>
      </w:r>
      <w:bookmarkEnd w:id="105"/>
      <w:bookmarkEnd w:id="106"/>
      <w:bookmarkEnd w:id="107"/>
    </w:p>
    <w:p>
      <w:pPr>
        <w:spacing w:line="560" w:lineRule="exact"/>
        <w:ind w:firstLine="640" w:firstLineChars="200"/>
        <w:rPr>
          <w:rFonts w:ascii="Times New Roman" w:hAnsi="Times New Roman" w:eastAsia="仿宋_GB2312"/>
          <w:color w:val="000000"/>
          <w:spacing w:val="-6"/>
          <w:sz w:val="32"/>
          <w:szCs w:val="32"/>
        </w:rPr>
      </w:pPr>
      <w:r>
        <w:rPr>
          <w:rFonts w:hint="eastAsia" w:ascii="Times New Roman" w:hAnsi="Times New Roman" w:eastAsia="仿宋_GB2312"/>
          <w:color w:val="000000"/>
          <w:sz w:val="32"/>
          <w:szCs w:val="32"/>
        </w:rPr>
        <w:t>到</w:t>
      </w:r>
      <w:r>
        <w:rPr>
          <w:rFonts w:ascii="Times New Roman" w:hAnsi="Times New Roman" w:eastAsia="仿宋_GB2312"/>
          <w:color w:val="000000"/>
          <w:sz w:val="32"/>
          <w:szCs w:val="32"/>
        </w:rPr>
        <w:t>2025</w:t>
      </w:r>
      <w:r>
        <w:rPr>
          <w:rFonts w:hint="eastAsia" w:ascii="Times New Roman" w:hAnsi="Times New Roman" w:eastAsia="仿宋_GB2312"/>
          <w:color w:val="000000"/>
          <w:sz w:val="32"/>
          <w:szCs w:val="32"/>
        </w:rPr>
        <w:t>年，初步建立以国家公园为主体的自然保护地体系，自然保护地设置重叠、边界不清、多头管理、权责不明等问题基本解决。积极配合开展秦</w:t>
      </w:r>
      <w:r>
        <w:rPr>
          <w:rFonts w:hint="eastAsia" w:ascii="Times New Roman" w:hAnsi="Times New Roman" w:eastAsia="仿宋_GB2312"/>
          <w:color w:val="000000"/>
          <w:spacing w:val="-6"/>
          <w:sz w:val="32"/>
          <w:szCs w:val="32"/>
        </w:rPr>
        <w:t>岭国家公园建设前期工作。对未纳入国家公园、自然保护地的重要保护价值区域，因地施策，加强保护。</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组织开展自然保护区、自然公园等其他自然保护地确权登记工作。通过确权登记，明确自然保护地范围内各类自然资源的数量、质量、种类、分布等自然状况，所有权主体、所有权代表行使主体、</w:t>
      </w:r>
      <w:r>
        <w:rPr>
          <w:rFonts w:hint="eastAsia" w:ascii="Times New Roman" w:hAnsi="Times New Roman" w:eastAsia="仿宋_GB2312"/>
          <w:color w:val="000000"/>
          <w:spacing w:val="-6"/>
          <w:sz w:val="32"/>
          <w:szCs w:val="32"/>
        </w:rPr>
        <w:t>所有权代理行使主体以及权利内容等权属状况。</w:t>
      </w:r>
    </w:p>
    <w:p>
      <w:pPr>
        <w:spacing w:beforeLines="50" w:afterLines="50" w:line="606" w:lineRule="exact"/>
        <w:jc w:val="center"/>
        <w:rPr>
          <w:rFonts w:ascii="Times New Roman" w:hAnsi="Times New Roman" w:eastAsia="楷体_GB2312"/>
          <w:b/>
          <w:bCs/>
          <w:color w:val="000000"/>
          <w:sz w:val="28"/>
          <w:szCs w:val="28"/>
        </w:rPr>
      </w:pPr>
      <w:r>
        <w:rPr>
          <w:rFonts w:hint="eastAsia" w:ascii="Times New Roman" w:hAnsi="Times New Roman" w:eastAsia="楷体_GB2312"/>
          <w:b/>
          <w:bCs/>
          <w:color w:val="000000"/>
          <w:sz w:val="28"/>
          <w:szCs w:val="28"/>
        </w:rPr>
        <w:t>专栏</w:t>
      </w:r>
      <w:r>
        <w:rPr>
          <w:rFonts w:ascii="Times New Roman" w:hAnsi="Times New Roman" w:eastAsia="楷体_GB2312"/>
          <w:b/>
          <w:bCs/>
          <w:color w:val="000000"/>
          <w:sz w:val="28"/>
          <w:szCs w:val="28"/>
        </w:rPr>
        <w:t xml:space="preserve">12  </w:t>
      </w:r>
      <w:r>
        <w:rPr>
          <w:rFonts w:hint="eastAsia" w:ascii="Times New Roman" w:hAnsi="Times New Roman" w:eastAsia="楷体_GB2312"/>
          <w:b/>
          <w:bCs/>
          <w:color w:val="000000"/>
          <w:sz w:val="28"/>
          <w:szCs w:val="28"/>
        </w:rPr>
        <w:t>自然保护地体系建设重点工程</w:t>
      </w:r>
    </w:p>
    <w:tbl>
      <w:tblPr>
        <w:tblStyle w:val="7"/>
        <w:tblW w:w="9060"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9060"/>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875" w:hRule="atLeast"/>
          <w:jc w:val="center"/>
        </w:trPr>
        <w:tc>
          <w:tcPr>
            <w:tcW w:w="9060" w:type="dxa"/>
            <w:tcBorders>
              <w:top w:val="single" w:color="auto" w:sz="4" w:space="0"/>
              <w:bottom w:val="single" w:color="auto" w:sz="4" w:space="0"/>
            </w:tcBorders>
            <w:vAlign w:val="center"/>
          </w:tcPr>
          <w:p>
            <w:pPr>
              <w:spacing w:line="520" w:lineRule="exact"/>
              <w:ind w:firstLine="482" w:firstLineChars="200"/>
              <w:rPr>
                <w:rFonts w:ascii="Times New Roman" w:hAnsi="Times New Roman" w:eastAsia="仿宋_GB2312"/>
                <w:color w:val="000000"/>
                <w:spacing w:val="-2"/>
                <w:sz w:val="24"/>
              </w:rPr>
            </w:pPr>
            <w:r>
              <w:rPr>
                <w:rFonts w:hint="eastAsia" w:ascii="Times New Roman" w:hAnsi="Times New Roman" w:eastAsia="仿宋_GB2312"/>
                <w:b/>
                <w:color w:val="000000"/>
                <w:sz w:val="24"/>
                <w:szCs w:val="32"/>
              </w:rPr>
              <w:t>配合做好秦岭国家公园前期建设有关工作。</w:t>
            </w:r>
            <w:r>
              <w:rPr>
                <w:rFonts w:hint="eastAsia" w:ascii="Times New Roman" w:hAnsi="Times New Roman" w:eastAsia="仿宋_GB2312"/>
                <w:bCs/>
                <w:color w:val="000000"/>
                <w:sz w:val="24"/>
                <w:szCs w:val="32"/>
              </w:rPr>
              <w:t>争取</w:t>
            </w:r>
            <w:r>
              <w:rPr>
                <w:rFonts w:hint="eastAsia" w:ascii="Times New Roman" w:hAnsi="Times New Roman" w:eastAsia="仿宋_GB2312"/>
                <w:color w:val="000000"/>
                <w:sz w:val="24"/>
                <w:szCs w:val="32"/>
              </w:rPr>
              <w:t>将我县生态系统中最重要、自然景观最独特、自然遗产最精华、生物多样性最富集的生态核心区域纳入秦岭国家公园，推进秦岭生态系统的原真性和完整性保护。</w:t>
            </w:r>
          </w:p>
          <w:p>
            <w:pPr>
              <w:spacing w:line="520" w:lineRule="exact"/>
              <w:ind w:firstLine="474" w:firstLineChars="200"/>
              <w:rPr>
                <w:rFonts w:ascii="Times New Roman" w:hAnsi="Times New Roman" w:eastAsia="仿宋_GB2312"/>
                <w:color w:val="000000"/>
                <w:spacing w:val="-2"/>
                <w:sz w:val="24"/>
              </w:rPr>
            </w:pPr>
            <w:r>
              <w:rPr>
                <w:rFonts w:hint="eastAsia" w:ascii="Times New Roman" w:hAnsi="Times New Roman" w:eastAsia="仿宋_GB2312"/>
                <w:b/>
                <w:color w:val="000000"/>
                <w:spacing w:val="-2"/>
                <w:sz w:val="24"/>
              </w:rPr>
              <w:t>提升自然保护区综合保护能力。</w:t>
            </w:r>
            <w:r>
              <w:rPr>
                <w:rFonts w:hint="eastAsia" w:ascii="Times New Roman" w:hAnsi="Times New Roman" w:eastAsia="仿宋_GB2312"/>
                <w:color w:val="000000"/>
                <w:spacing w:val="-2"/>
                <w:sz w:val="24"/>
              </w:rPr>
              <w:t>完善野生动物疫源疫病监测防控体系，开展极度濒危野生动物和极小种群野生植物拯救保护，提升综合保护能力，逐步建立自然保护区</w:t>
            </w:r>
            <w:r>
              <w:rPr>
                <w:rFonts w:ascii="Times New Roman" w:hAnsi="Times New Roman" w:eastAsia="仿宋_GB2312"/>
                <w:color w:val="000000"/>
                <w:spacing w:val="-2"/>
                <w:sz w:val="24"/>
              </w:rPr>
              <w:t>“</w:t>
            </w:r>
            <w:r>
              <w:rPr>
                <w:rFonts w:hint="eastAsia" w:ascii="Times New Roman" w:hAnsi="Times New Roman" w:eastAsia="仿宋_GB2312"/>
                <w:color w:val="000000"/>
                <w:spacing w:val="-2"/>
                <w:sz w:val="24"/>
              </w:rPr>
              <w:t>天地一体化</w:t>
            </w:r>
            <w:r>
              <w:rPr>
                <w:rFonts w:ascii="Times New Roman" w:hAnsi="Times New Roman" w:eastAsia="仿宋_GB2312"/>
                <w:color w:val="000000"/>
                <w:spacing w:val="-2"/>
                <w:sz w:val="24"/>
              </w:rPr>
              <w:t>”</w:t>
            </w:r>
            <w:r>
              <w:rPr>
                <w:rFonts w:hint="eastAsia" w:ascii="Times New Roman" w:hAnsi="Times New Roman" w:eastAsia="仿宋_GB2312"/>
                <w:color w:val="000000"/>
                <w:spacing w:val="-2"/>
                <w:sz w:val="24"/>
              </w:rPr>
              <w:t>动态监测体系。</w:t>
            </w:r>
          </w:p>
          <w:p>
            <w:pPr>
              <w:spacing w:line="520" w:lineRule="exact"/>
              <w:ind w:firstLine="474" w:firstLineChars="200"/>
              <w:rPr>
                <w:rFonts w:ascii="Times New Roman" w:hAnsi="Times New Roman" w:eastAsia="仿宋_GB2312"/>
                <w:color w:val="000000"/>
                <w:spacing w:val="-2"/>
                <w:sz w:val="24"/>
              </w:rPr>
            </w:pPr>
            <w:r>
              <w:rPr>
                <w:rFonts w:hint="eastAsia" w:ascii="Times New Roman" w:hAnsi="Times New Roman" w:eastAsia="仿宋_GB2312"/>
                <w:b/>
                <w:color w:val="000000"/>
                <w:spacing w:val="-2"/>
                <w:sz w:val="24"/>
              </w:rPr>
              <w:t>优化观测网络。</w:t>
            </w:r>
            <w:r>
              <w:rPr>
                <w:rFonts w:hint="eastAsia" w:ascii="Times New Roman" w:hAnsi="Times New Roman" w:eastAsia="仿宋_GB2312"/>
                <w:color w:val="000000"/>
                <w:spacing w:val="-2"/>
                <w:sz w:val="24"/>
              </w:rPr>
              <w:t>立足问题导向和监管需求，突出重要生态系统类型和重点关注物种，优化调整生物多样性观测网络，设置观测样地，开展长期观测，关注物种、种群及其环境变化状况和趋势。</w:t>
            </w:r>
            <w:r>
              <w:rPr>
                <w:rFonts w:ascii="Times New Roman" w:hAnsi="Times New Roman" w:eastAsia="仿宋_GB2312"/>
                <w:color w:val="000000"/>
                <w:spacing w:val="-2"/>
                <w:sz w:val="24"/>
              </w:rPr>
              <w:t xml:space="preserve">  </w:t>
            </w:r>
          </w:p>
          <w:p>
            <w:pPr>
              <w:spacing w:line="520" w:lineRule="exact"/>
              <w:ind w:firstLine="474" w:firstLineChars="200"/>
              <w:rPr>
                <w:rFonts w:ascii="Times New Roman" w:hAnsi="Times New Roman" w:eastAsia="仿宋_GB2312"/>
                <w:color w:val="000000"/>
                <w:spacing w:val="-2"/>
                <w:sz w:val="24"/>
              </w:rPr>
            </w:pPr>
            <w:r>
              <w:rPr>
                <w:rFonts w:hint="eastAsia" w:ascii="Times New Roman" w:hAnsi="Times New Roman" w:eastAsia="仿宋_GB2312"/>
                <w:b/>
                <w:color w:val="000000"/>
                <w:spacing w:val="-2"/>
                <w:sz w:val="24"/>
              </w:rPr>
              <w:t>开展生物多样性状况调查与评估。</w:t>
            </w:r>
            <w:r>
              <w:rPr>
                <w:rFonts w:hint="eastAsia" w:ascii="Times New Roman" w:hAnsi="Times New Roman" w:eastAsia="仿宋_GB2312"/>
                <w:color w:val="000000"/>
                <w:spacing w:val="-2"/>
                <w:sz w:val="24"/>
              </w:rPr>
              <w:t>开展生物多样性本底、分布、动态变化和威胁因素调查，对分布格局特征、保护状况与保护成效定期综合评估，提出生物多样性保护对策建议。</w:t>
            </w:r>
          </w:p>
        </w:tc>
      </w:tr>
    </w:tbl>
    <w:p>
      <w:pPr>
        <w:spacing w:line="606" w:lineRule="exact"/>
        <w:jc w:val="center"/>
        <w:outlineLvl w:val="0"/>
        <w:rPr>
          <w:rFonts w:ascii="Times New Roman" w:hAnsi="Times New Roman" w:eastAsia="黑体"/>
          <w:color w:val="000000"/>
          <w:sz w:val="32"/>
          <w:szCs w:val="32"/>
        </w:rPr>
        <w:sectPr>
          <w:footerReference r:id="rId8" w:type="default"/>
          <w:pgSz w:w="11906" w:h="16838"/>
          <w:pgMar w:top="1984" w:right="1531" w:bottom="1587" w:left="1531" w:header="851" w:footer="1247" w:gutter="0"/>
          <w:pgNumType w:fmt="numberInDash"/>
          <w:cols w:space="425" w:num="1"/>
          <w:docGrid w:type="lines" w:linePitch="315" w:charSpace="0"/>
        </w:sectPr>
      </w:pPr>
      <w:bookmarkStart w:id="108" w:name="_Toc10255"/>
      <w:bookmarkStart w:id="109" w:name="_Toc20727"/>
      <w:bookmarkStart w:id="110" w:name="_Toc7487"/>
    </w:p>
    <w:p>
      <w:pPr>
        <w:spacing w:line="550" w:lineRule="exact"/>
        <w:jc w:val="center"/>
        <w:outlineLvl w:val="0"/>
        <w:rPr>
          <w:rFonts w:ascii="Times New Roman" w:hAnsi="Times New Roman" w:eastAsia="黑体"/>
          <w:color w:val="000000"/>
          <w:sz w:val="32"/>
          <w:szCs w:val="32"/>
        </w:rPr>
      </w:pPr>
      <w:r>
        <w:rPr>
          <w:rFonts w:hint="eastAsia" w:ascii="Times New Roman" w:hAnsi="Times New Roman" w:eastAsia="黑体"/>
          <w:color w:val="000000"/>
          <w:sz w:val="32"/>
          <w:szCs w:val="32"/>
        </w:rPr>
        <w:t>第七章</w:t>
      </w:r>
      <w:r>
        <w:rPr>
          <w:rFonts w:ascii="Times New Roman" w:hAnsi="Times New Roman" w:eastAsia="黑体"/>
          <w:color w:val="000000"/>
          <w:sz w:val="32"/>
          <w:szCs w:val="32"/>
        </w:rPr>
        <w:t xml:space="preserve"> </w:t>
      </w:r>
      <w:r>
        <w:rPr>
          <w:rFonts w:hint="eastAsia" w:ascii="Times New Roman" w:hAnsi="Times New Roman" w:eastAsia="黑体"/>
          <w:color w:val="000000"/>
          <w:sz w:val="32"/>
          <w:szCs w:val="32"/>
        </w:rPr>
        <w:t>严格开发建设活动的生态环境保护</w:t>
      </w:r>
      <w:bookmarkEnd w:id="108"/>
      <w:bookmarkEnd w:id="109"/>
      <w:bookmarkEnd w:id="110"/>
    </w:p>
    <w:p>
      <w:pPr>
        <w:spacing w:line="550" w:lineRule="exact"/>
        <w:ind w:firstLine="640" w:firstLineChars="200"/>
        <w:rPr>
          <w:rFonts w:ascii="Times New Roman" w:hAnsi="Times New Roman" w:eastAsia="仿宋_GB2312"/>
          <w:color w:val="000000"/>
          <w:sz w:val="32"/>
          <w:szCs w:val="32"/>
        </w:rPr>
      </w:pPr>
    </w:p>
    <w:p>
      <w:pPr>
        <w:spacing w:line="55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按照</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谁污染谁治理、谁破坏谁修复</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原则，强化政府监督责任和企业主体责任，采用先进工艺、技术和措施，节约集约利用矿产资源，综合治理废水、废气、废渣、重金属等污染，确保达标排放，集中储存、处置尾矿渣，切实减少和控制各类开发建设活动对秦岭生态环境的损害。</w:t>
      </w:r>
    </w:p>
    <w:p>
      <w:pPr>
        <w:spacing w:line="550" w:lineRule="exact"/>
        <w:ind w:firstLine="640" w:firstLineChars="200"/>
        <w:rPr>
          <w:rFonts w:ascii="Times New Roman" w:hAnsi="Times New Roman" w:eastAsia="仿宋_GB2312"/>
          <w:color w:val="000000"/>
          <w:sz w:val="32"/>
          <w:szCs w:val="32"/>
        </w:rPr>
      </w:pPr>
    </w:p>
    <w:p>
      <w:pPr>
        <w:spacing w:line="550" w:lineRule="exact"/>
        <w:jc w:val="center"/>
        <w:outlineLvl w:val="1"/>
        <w:rPr>
          <w:rFonts w:ascii="Times New Roman" w:hAnsi="Times New Roman" w:eastAsia="楷体_GB2312"/>
          <w:b/>
          <w:bCs/>
          <w:color w:val="000000"/>
          <w:sz w:val="32"/>
          <w:szCs w:val="32"/>
        </w:rPr>
      </w:pPr>
      <w:bookmarkStart w:id="111" w:name="_Toc7309"/>
      <w:bookmarkStart w:id="112" w:name="_Toc25893"/>
      <w:bookmarkStart w:id="113" w:name="_Toc8445"/>
      <w:r>
        <w:rPr>
          <w:rFonts w:hint="eastAsia" w:ascii="Times New Roman" w:hAnsi="Times New Roman" w:eastAsia="楷体_GB2312"/>
          <w:b/>
          <w:bCs/>
          <w:color w:val="000000"/>
          <w:sz w:val="32"/>
          <w:szCs w:val="32"/>
        </w:rPr>
        <w:t>第一节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矿产资源开发保护</w:t>
      </w:r>
      <w:bookmarkEnd w:id="111"/>
      <w:bookmarkEnd w:id="112"/>
      <w:bookmarkEnd w:id="113"/>
      <w:r>
        <w:rPr>
          <w:rFonts w:ascii="Times New Roman" w:hAnsi="Times New Roman" w:eastAsia="楷体_GB2312"/>
          <w:b/>
          <w:bCs/>
          <w:color w:val="000000"/>
          <w:sz w:val="32"/>
          <w:szCs w:val="32"/>
        </w:rPr>
        <w:t xml:space="preserve"> </w:t>
      </w:r>
    </w:p>
    <w:p>
      <w:pPr>
        <w:spacing w:line="55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禁止在核心保护区、重点保护区勘探、开发矿产资源和开山采石。已取得矿业权的企业和现有采石企业，由县政府依法组织限期退出。对退出保护区的矿山企业，必须限期完成矿山生态环境恢复治理工作。</w:t>
      </w:r>
    </w:p>
    <w:p>
      <w:pPr>
        <w:spacing w:line="55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核心保护区内已有矿业权，一律停止勘探、开采活动。探矿权、采矿权范围全部在核心保护区内需关闭退出的矿业权，由县政府发布关闭公告，自然资源行政主管部门按审批权限于</w:t>
      </w:r>
      <w:r>
        <w:rPr>
          <w:rFonts w:ascii="Times New Roman" w:hAnsi="Times New Roman" w:eastAsia="仿宋_GB2312"/>
          <w:color w:val="000000"/>
          <w:sz w:val="32"/>
          <w:szCs w:val="32"/>
        </w:rPr>
        <w:t>2020</w:t>
      </w:r>
      <w:r>
        <w:rPr>
          <w:rFonts w:hint="eastAsia" w:ascii="Times New Roman" w:hAnsi="Times New Roman" w:eastAsia="仿宋_GB2312"/>
          <w:color w:val="000000"/>
          <w:sz w:val="32"/>
          <w:szCs w:val="32"/>
        </w:rPr>
        <w:t>年底前办理勘查许可证或采矿许可证注销登记手续；探矿权、采矿权范围部分在核心保护区内可扣减避让的矿业权，自然资源行政主管部门按审批权限于</w:t>
      </w:r>
      <w:r>
        <w:rPr>
          <w:rFonts w:ascii="Times New Roman" w:hAnsi="Times New Roman" w:eastAsia="仿宋_GB2312"/>
          <w:color w:val="000000"/>
          <w:sz w:val="32"/>
          <w:szCs w:val="32"/>
        </w:rPr>
        <w:t>2020</w:t>
      </w:r>
      <w:r>
        <w:rPr>
          <w:rFonts w:hint="eastAsia" w:ascii="Times New Roman" w:hAnsi="Times New Roman" w:eastAsia="仿宋_GB2312"/>
          <w:color w:val="000000"/>
          <w:sz w:val="32"/>
          <w:szCs w:val="32"/>
        </w:rPr>
        <w:t>年底前办理勘查许可证或采矿许可证变更（扣减面积）登记手续。</w:t>
      </w:r>
    </w:p>
    <w:p>
      <w:pPr>
        <w:spacing w:line="55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重点保护区内已有探矿权一律停止勘探活动，探矿权人不得在重点保护区进行设计和勘探施工。已施工工程应当及时封堵、填埋，进行覆土复绿等恢复治理。探矿权范围全部在重点保护区内需关闭退出，部分在重点保护区内可扣减避让的于</w:t>
      </w:r>
      <w:r>
        <w:rPr>
          <w:rFonts w:ascii="Times New Roman" w:hAnsi="Times New Roman" w:eastAsia="仿宋_GB2312"/>
          <w:color w:val="000000"/>
          <w:sz w:val="32"/>
          <w:szCs w:val="32"/>
        </w:rPr>
        <w:t>2020</w:t>
      </w:r>
      <w:r>
        <w:rPr>
          <w:rFonts w:hint="eastAsia" w:ascii="Times New Roman" w:hAnsi="Times New Roman" w:eastAsia="仿宋_GB2312"/>
          <w:color w:val="000000"/>
          <w:sz w:val="32"/>
          <w:szCs w:val="32"/>
        </w:rPr>
        <w:t>年底前办理勘查许可证变更（扣减面积）登记手续。重点保护区内已有采矿权，采矿权人应及时办理扣减避让或注销登记手续。开采标高部分在重点保护区可扣减避让的，由县政府督促采矿权人主动申请扣减避让，自然资源行政主管部门按审批权限于</w:t>
      </w:r>
      <w:r>
        <w:rPr>
          <w:rFonts w:ascii="Times New Roman" w:hAnsi="Times New Roman" w:eastAsia="仿宋_GB2312"/>
          <w:color w:val="000000"/>
          <w:sz w:val="32"/>
          <w:szCs w:val="32"/>
        </w:rPr>
        <w:t>2020</w:t>
      </w:r>
      <w:r>
        <w:rPr>
          <w:rFonts w:hint="eastAsia" w:ascii="Times New Roman" w:hAnsi="Times New Roman" w:eastAsia="仿宋_GB2312"/>
          <w:color w:val="000000"/>
          <w:sz w:val="32"/>
          <w:szCs w:val="32"/>
        </w:rPr>
        <w:t>年底前办理采矿许可证变更手续；开采标高全部在重点保护区无法扣减需关闭退出的，由县政府发布关闭公告，自然资源行政主管部门按审批权限于</w:t>
      </w:r>
      <w:r>
        <w:rPr>
          <w:rFonts w:ascii="Times New Roman" w:hAnsi="Times New Roman" w:eastAsia="仿宋_GB2312"/>
          <w:color w:val="000000"/>
          <w:sz w:val="32"/>
          <w:szCs w:val="32"/>
        </w:rPr>
        <w:t>2020</w:t>
      </w:r>
      <w:r>
        <w:rPr>
          <w:rFonts w:hint="eastAsia" w:ascii="Times New Roman" w:hAnsi="Times New Roman" w:eastAsia="仿宋_GB2312"/>
          <w:color w:val="000000"/>
          <w:sz w:val="32"/>
          <w:szCs w:val="32"/>
        </w:rPr>
        <w:t>年底前办理采矿许可证注销登记手续。部分范围在重点保护区内的开采矿山，凡</w:t>
      </w:r>
      <w:r>
        <w:rPr>
          <w:rFonts w:ascii="Times New Roman" w:hAnsi="Times New Roman" w:eastAsia="仿宋_GB2312"/>
          <w:color w:val="000000"/>
          <w:sz w:val="32"/>
          <w:szCs w:val="32"/>
        </w:rPr>
        <w:t>2020</w:t>
      </w:r>
      <w:r>
        <w:rPr>
          <w:rFonts w:hint="eastAsia" w:ascii="Times New Roman" w:hAnsi="Times New Roman" w:eastAsia="仿宋_GB2312"/>
          <w:color w:val="000000"/>
          <w:sz w:val="32"/>
          <w:szCs w:val="32"/>
        </w:rPr>
        <w:t>年底前仍未调整到位的或因地形地表等原因无法扣减调整的，不再办理采矿权登记手续，并由县政府予以关闭退出。</w:t>
      </w:r>
    </w:p>
    <w:p>
      <w:pPr>
        <w:spacing w:line="55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在一般保护区新建、扩建、改建矿产资源开采项目和秦岭主梁以南的一般保护区开山采石，应</w:t>
      </w:r>
      <w:r>
        <w:rPr>
          <w:rFonts w:hint="eastAsia" w:ascii="Times New Roman" w:hAnsi="Times New Roman" w:eastAsia="仿宋_GB2312"/>
          <w:color w:val="000000"/>
          <w:spacing w:val="-6"/>
          <w:sz w:val="32"/>
          <w:szCs w:val="32"/>
        </w:rPr>
        <w:t>当符合《条例》、省市秦岭保护规划、县秦岭保护方案和秦岭矿产资源开发专项规划等的要求，进行环境影响评价，依法办理审批手续。一般保护区内，依法取得勘查、采矿许可证等相关审批手续的矿业权人，应当按照绿色勘查有关要求和绿色矿山建设标准开展作业，必须采用先进工艺技术和措施，提高资源综合利用率，减少对水体和生态环境的破坏。</w:t>
      </w:r>
    </w:p>
    <w:p>
      <w:pPr>
        <w:spacing w:line="55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现有矿山企业</w:t>
      </w:r>
      <w:r>
        <w:rPr>
          <w:rFonts w:hint="eastAsia" w:ascii="Times New Roman" w:hAnsi="Times New Roman" w:eastAsia="仿宋_GB2312"/>
          <w:color w:val="000000"/>
          <w:spacing w:val="-6"/>
          <w:sz w:val="32"/>
          <w:szCs w:val="32"/>
        </w:rPr>
        <w:t>不得采用国家明令淘汰的落后工艺、技术和设备；已建成项目采用淘汰的落后工艺、技术和设备的，必须加快升级改造，由县政府依照管理权限责令限期改造、停产或者关闭。新建矿山必须按照绿色矿山标准进行建设。到</w:t>
      </w:r>
      <w:r>
        <w:rPr>
          <w:rFonts w:ascii="Times New Roman" w:hAnsi="Times New Roman" w:eastAsia="仿宋_GB2312"/>
          <w:color w:val="000000"/>
          <w:spacing w:val="-6"/>
          <w:sz w:val="32"/>
          <w:szCs w:val="32"/>
        </w:rPr>
        <w:t>2025</w:t>
      </w:r>
      <w:r>
        <w:rPr>
          <w:rFonts w:hint="eastAsia" w:ascii="Times New Roman" w:hAnsi="Times New Roman" w:eastAsia="仿宋_GB2312"/>
          <w:color w:val="000000"/>
          <w:spacing w:val="-6"/>
          <w:sz w:val="32"/>
          <w:szCs w:val="32"/>
        </w:rPr>
        <w:t>年，生产和建设的大中型矿山的绿色矿山建设率达到国、省指标要求，小型矿山按照绿色矿山标准进行规范管理。到</w:t>
      </w:r>
      <w:r>
        <w:rPr>
          <w:rFonts w:ascii="Times New Roman" w:hAnsi="Times New Roman" w:eastAsia="仿宋_GB2312"/>
          <w:color w:val="000000"/>
          <w:spacing w:val="-6"/>
          <w:sz w:val="32"/>
          <w:szCs w:val="32"/>
        </w:rPr>
        <w:t>2035</w:t>
      </w:r>
      <w:r>
        <w:rPr>
          <w:rFonts w:hint="eastAsia" w:ascii="Times New Roman" w:hAnsi="Times New Roman" w:eastAsia="仿宋_GB2312"/>
          <w:color w:val="000000"/>
          <w:spacing w:val="-6"/>
          <w:sz w:val="32"/>
          <w:szCs w:val="32"/>
        </w:rPr>
        <w:t>年，绿色勘查新体系基本建立，绿色矿山格局基本形成，矿业高质量发展取得成效。</w:t>
      </w:r>
    </w:p>
    <w:p>
      <w:pPr>
        <w:spacing w:line="550" w:lineRule="exact"/>
        <w:jc w:val="center"/>
        <w:outlineLvl w:val="1"/>
        <w:rPr>
          <w:rFonts w:ascii="Times New Roman" w:hAnsi="Times New Roman" w:eastAsia="楷体_GB2312"/>
          <w:b/>
          <w:bCs/>
          <w:color w:val="000000"/>
          <w:sz w:val="32"/>
          <w:szCs w:val="32"/>
        </w:rPr>
      </w:pPr>
      <w:bookmarkStart w:id="114" w:name="_Toc29276"/>
      <w:bookmarkStart w:id="115" w:name="_Toc7348"/>
      <w:bookmarkStart w:id="116" w:name="_Toc20679"/>
      <w:r>
        <w:rPr>
          <w:rFonts w:hint="eastAsia" w:ascii="Times New Roman" w:hAnsi="Times New Roman" w:eastAsia="楷体_GB2312"/>
          <w:b/>
          <w:bCs/>
          <w:color w:val="000000"/>
          <w:sz w:val="32"/>
          <w:szCs w:val="32"/>
        </w:rPr>
        <w:t>第二节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交通设施建设保护</w:t>
      </w:r>
      <w:bookmarkEnd w:id="114"/>
      <w:bookmarkEnd w:id="115"/>
      <w:bookmarkEnd w:id="116"/>
      <w:r>
        <w:rPr>
          <w:rFonts w:ascii="Times New Roman" w:hAnsi="Times New Roman" w:eastAsia="楷体_GB2312"/>
          <w:b/>
          <w:bCs/>
          <w:color w:val="000000"/>
          <w:sz w:val="32"/>
          <w:szCs w:val="32"/>
        </w:rPr>
        <w:t xml:space="preserve"> </w:t>
      </w:r>
    </w:p>
    <w:p>
      <w:pPr>
        <w:spacing w:line="55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按照绿色生态理念，科学布局综合交通运输网络，统筹推进公路、铁路等交通方式融合发展。加快洛南至卢氏、华阴至洛南等高速公路建设。加强现有公路养护管理，提高公路发展水平。积极争取商洛支线机场及通用机场、华商轻轨进入中省规划建设。推动通道资源集约利用，实现交通与秦岭生态环境保护高质量发展。公路、铁路等交通设施建设，应当符合《条例》《规划》《方案》要求，统筹规划，生态选线、科学选址，优先采取桥隧等工程技术措施，绿色施工，避免高强度、大面积开挖，减少对山体、饮用水水源、植被等生态环境的破坏。在建交通项目建设应强化环保措施应用，最大限度降低施工对生态环境的影响。加强道路两侧补绿、植绿、护绿，对取料场、废弃物堆放场进行有效治理和综合利用，不得向河道、湖泊、水库等水体</w:t>
      </w:r>
      <w:r>
        <w:rPr>
          <w:rFonts w:hint="eastAsia" w:ascii="Times New Roman" w:hAnsi="Times New Roman" w:eastAsia="仿宋_GB2312"/>
          <w:color w:val="000000"/>
          <w:spacing w:val="-6"/>
          <w:sz w:val="32"/>
          <w:szCs w:val="32"/>
        </w:rPr>
        <w:t>倾倒废弃物。加强公共交通站点、非机动车道建设，积极推广新能源公共交通运输工具，鼓励居民绿色出行。</w:t>
      </w:r>
    </w:p>
    <w:p>
      <w:pPr>
        <w:spacing w:line="55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交通设施建设过程中，要落实环境影响评价文件提出的各项生态环境保护措施，不占或者少占林地耕地，对建设周期长、生态环境影响大的建设工程实行工程环境监理。设施建设时应当采取措施，保护秦岭生物多样性和水源涵养功能。封闭式道路建设应当根据野生动物的生活习性、迁移规律，采取修建野生动物通道等措施，消除或者减少对野生动物的不利影响，避免形成新的生态孤岛。经过重点保护野生动物活动区域的已建成道路改建、扩建时，其设计、施工方案中应当包含设置野生动物通道、交通减速设施及警示标志的内容。</w:t>
      </w:r>
    </w:p>
    <w:p>
      <w:pPr>
        <w:spacing w:line="550" w:lineRule="exact"/>
        <w:jc w:val="center"/>
        <w:rPr>
          <w:rFonts w:ascii="Times New Roman" w:hAnsi="Times New Roman" w:eastAsia="楷体_GB2312"/>
          <w:b/>
          <w:bCs/>
          <w:color w:val="000000"/>
          <w:sz w:val="32"/>
          <w:szCs w:val="32"/>
        </w:rPr>
      </w:pPr>
      <w:bookmarkStart w:id="117" w:name="_Toc4844"/>
      <w:bookmarkStart w:id="118" w:name="_Toc5031"/>
    </w:p>
    <w:p>
      <w:pPr>
        <w:spacing w:line="550" w:lineRule="exact"/>
        <w:jc w:val="center"/>
        <w:outlineLvl w:val="1"/>
        <w:rPr>
          <w:rFonts w:ascii="Times New Roman" w:hAnsi="Times New Roman" w:eastAsia="楷体_GB2312"/>
          <w:b/>
          <w:bCs/>
          <w:color w:val="000000"/>
          <w:sz w:val="32"/>
          <w:szCs w:val="32"/>
        </w:rPr>
      </w:pPr>
      <w:bookmarkStart w:id="119" w:name="_Toc11303"/>
      <w:r>
        <w:rPr>
          <w:rFonts w:hint="eastAsia" w:ascii="Times New Roman" w:hAnsi="Times New Roman" w:eastAsia="楷体_GB2312"/>
          <w:b/>
          <w:bCs/>
          <w:color w:val="000000"/>
          <w:sz w:val="32"/>
          <w:szCs w:val="32"/>
        </w:rPr>
        <w:t>第三节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城镇乡村建设保护</w:t>
      </w:r>
      <w:bookmarkEnd w:id="117"/>
      <w:bookmarkEnd w:id="118"/>
      <w:bookmarkEnd w:id="119"/>
      <w:r>
        <w:rPr>
          <w:rFonts w:ascii="Times New Roman" w:hAnsi="Times New Roman" w:eastAsia="楷体_GB2312"/>
          <w:b/>
          <w:bCs/>
          <w:color w:val="000000"/>
          <w:sz w:val="32"/>
          <w:szCs w:val="32"/>
        </w:rPr>
        <w:t xml:space="preserve"> </w:t>
      </w:r>
    </w:p>
    <w:p>
      <w:pPr>
        <w:spacing w:line="550" w:lineRule="exact"/>
        <w:ind w:firstLine="640" w:firstLineChars="200"/>
        <w:rPr>
          <w:rFonts w:ascii="Times New Roman" w:hAnsi="Times New Roman" w:eastAsia="仿宋"/>
          <w:color w:val="000000"/>
          <w:sz w:val="32"/>
          <w:szCs w:val="32"/>
        </w:rPr>
      </w:pPr>
      <w:r>
        <w:rPr>
          <w:rFonts w:hint="eastAsia" w:ascii="Times New Roman" w:hAnsi="Times New Roman" w:eastAsia="仿宋_GB2312"/>
          <w:color w:val="000000"/>
          <w:sz w:val="32"/>
          <w:szCs w:val="32"/>
        </w:rPr>
        <w:t>按照规划控制、基础先行、功能配套、生态友好的原则，统筹推进</w:t>
      </w:r>
      <w:r>
        <w:rPr>
          <w:rFonts w:hint="eastAsia" w:ascii="Times New Roman" w:hAnsi="Times New Roman" w:eastAsia="仿宋_GB2312"/>
          <w:color w:val="000000"/>
          <w:spacing w:val="-6"/>
          <w:sz w:val="32"/>
          <w:szCs w:val="32"/>
        </w:rPr>
        <w:t>城乡基础设施、公共服务设施建设，严控新增用地，合理绿地布局，突出地域文化特色，因地制宜推进城镇乡村发展。引导县城集约发展，结合用地条件、环境承载能力等要素，通过控制疏解、重点培育等方式加强生态保护和环境修复，合理疏导人口转移。有序建设特色小城镇，突出集约节约利用土地，体现地域文化特色，推进省级重点示范镇、文化旅游名镇和特色小镇、避暑旅游小镇、气候康养旅游小镇等建设，引导和促进人口、产业、公共资源等要素向特色集镇集聚。加强城乡生活污水处理、生活垃圾无害化处理、供排水等公共设施建设，到</w:t>
      </w:r>
      <w:r>
        <w:rPr>
          <w:rFonts w:ascii="Times New Roman" w:hAnsi="Times New Roman" w:eastAsia="仿宋_GB2312"/>
          <w:color w:val="000000"/>
          <w:spacing w:val="-6"/>
          <w:sz w:val="32"/>
          <w:szCs w:val="32"/>
        </w:rPr>
        <w:t>2025</w:t>
      </w:r>
      <w:r>
        <w:rPr>
          <w:rFonts w:hint="eastAsia" w:ascii="Times New Roman" w:hAnsi="Times New Roman" w:eastAsia="仿宋_GB2312"/>
          <w:color w:val="000000"/>
          <w:spacing w:val="-6"/>
          <w:sz w:val="32"/>
          <w:szCs w:val="32"/>
        </w:rPr>
        <w:t>年，县城生活污水集中处理率超过</w:t>
      </w:r>
      <w:r>
        <w:rPr>
          <w:rFonts w:ascii="Times New Roman" w:hAnsi="Times New Roman" w:eastAsia="仿宋_GB2312"/>
          <w:color w:val="000000"/>
          <w:spacing w:val="-6"/>
          <w:sz w:val="32"/>
          <w:szCs w:val="32"/>
        </w:rPr>
        <w:t>88%</w:t>
      </w:r>
      <w:r>
        <w:rPr>
          <w:rFonts w:hint="eastAsia" w:ascii="Times New Roman" w:hAnsi="Times New Roman" w:eastAsia="仿宋_GB2312"/>
          <w:color w:val="000000"/>
          <w:spacing w:val="-6"/>
          <w:sz w:val="32"/>
          <w:szCs w:val="32"/>
        </w:rPr>
        <w:t>。</w:t>
      </w:r>
      <w:r>
        <w:rPr>
          <w:rFonts w:hint="eastAsia" w:ascii="仿宋_GB2312" w:hAnsi="Times New Roman" w:eastAsia="仿宋_GB2312"/>
          <w:color w:val="000000"/>
          <w:sz w:val="32"/>
          <w:szCs w:val="32"/>
        </w:rPr>
        <w:t>在全县镇办统一规划建设生活垃圾处理、污水处理等设施，在人口相对集中的村庄推广使用太阳能等清洁能源。</w:t>
      </w:r>
    </w:p>
    <w:p>
      <w:pPr>
        <w:spacing w:line="55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做好移民搬迁安置工作，科学组织移民搬迁，确定移民安置点，采取优先实施避灾、生态搬迁等措施，引导核心保护区内的居民有序迁出。已经实施移民搬迁的，原有建筑物、构筑物应当限期拆除，恢复生态，实现人与自然和谐发展。</w:t>
      </w:r>
    </w:p>
    <w:p>
      <w:pPr>
        <w:spacing w:line="55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立足村庄自然生态资源、环境条件和发展基础，建成一批宜</w:t>
      </w:r>
      <w:r>
        <w:rPr>
          <w:rFonts w:hint="eastAsia" w:ascii="Times New Roman" w:hAnsi="Times New Roman" w:eastAsia="仿宋_GB2312"/>
          <w:color w:val="000000"/>
          <w:spacing w:val="-6"/>
          <w:sz w:val="32"/>
          <w:szCs w:val="32"/>
        </w:rPr>
        <w:t>居宜游美丽乡村。推进农村危房改造、饮水安全、电网改造升级、信息化建设和村庄道路硬化、亮化、绿化工程，实现农村人居环境综合整治全覆盖。推</w:t>
      </w:r>
      <w:r>
        <w:rPr>
          <w:rFonts w:hint="eastAsia" w:ascii="Times New Roman" w:hAnsi="Times New Roman" w:eastAsia="仿宋_GB2312"/>
          <w:color w:val="000000"/>
          <w:sz w:val="32"/>
          <w:szCs w:val="32"/>
        </w:rPr>
        <w:t>进移风易俗、文明进步，提高农村文明程度。历史文化名镇名村和传统村落中的建筑维护和修缮应当按照相关规划的要求实施，保持其传统格局、历史风貌和空间尺度。</w:t>
      </w:r>
    </w:p>
    <w:p>
      <w:pPr>
        <w:spacing w:line="55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严格控制房地产开发，在核心保护区、重点保护区禁止房地产开发，在一般保护区进行房地产等各类建设活动，要符合《条例》、国土空间规划、秦岭生态环境保护规划、方案和控制性详细规划等的要求，依法办理审批手续。</w:t>
      </w:r>
    </w:p>
    <w:p>
      <w:pPr>
        <w:spacing w:line="55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在核心保护区、重点保护区禁止新建、扩建、异地重建宗教活动场所。在宗教活动场所内改建或者新建建筑物，在寺观教堂内修建大型露天宗教造像，在一般保护区新建、扩建、异地重建宗教活动场所，应当符合《条例》和秦岭生态环境保护规划、方案和国土空间规划等的要求，并依法办理审批手续。</w:t>
      </w:r>
    </w:p>
    <w:p>
      <w:pPr>
        <w:spacing w:line="55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在文物保护单位保护范围内，不得进行其他建设工程或者爆破、钻探、挖掘等作业，因特殊情况需要进行的，必须严格按规定报批，并确保文物保护单位的安全。在文物保护单位的建设控</w:t>
      </w:r>
      <w:r>
        <w:rPr>
          <w:rFonts w:hint="eastAsia" w:ascii="Times New Roman" w:hAnsi="Times New Roman" w:eastAsia="仿宋_GB2312"/>
          <w:color w:val="000000"/>
          <w:spacing w:val="-10"/>
          <w:sz w:val="32"/>
          <w:szCs w:val="32"/>
        </w:rPr>
        <w:t>制地带内实施建设工程，应严格按照</w:t>
      </w:r>
      <w:r>
        <w:rPr>
          <w:rFonts w:hint="eastAsia" w:ascii="Times New Roman" w:hAnsi="Times New Roman" w:eastAsia="仿宋_GB2312"/>
          <w:color w:val="000000"/>
          <w:spacing w:val="-10"/>
          <w:sz w:val="32"/>
          <w:szCs w:val="32"/>
          <w:lang w:eastAsia="zh-CN"/>
        </w:rPr>
        <w:t>《中华人民共和国文物保护法》</w:t>
      </w:r>
      <w:r>
        <w:rPr>
          <w:rFonts w:hint="eastAsia" w:ascii="Times New Roman" w:hAnsi="Times New Roman" w:eastAsia="仿宋_GB2312"/>
          <w:color w:val="000000"/>
          <w:spacing w:val="-10"/>
          <w:sz w:val="32"/>
          <w:szCs w:val="32"/>
        </w:rPr>
        <w:t>有关规定执行。</w:t>
      </w:r>
    </w:p>
    <w:p>
      <w:pPr>
        <w:spacing w:line="55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积极推进殡葬改革，鼓励火葬、生态葬，严禁在铁路、国省道路沿线、水源地布局殡葬场所，已有的应采取生态改造等方式进行整治。建设的殡葬设施，应当按照节地生态、保护环境的原则统一规划，并符合《条例》和国土空间规划等的要求，依法办理审批手续。</w:t>
      </w:r>
    </w:p>
    <w:p>
      <w:pPr>
        <w:spacing w:line="550" w:lineRule="exact"/>
        <w:jc w:val="center"/>
        <w:outlineLvl w:val="1"/>
        <w:rPr>
          <w:rFonts w:ascii="Times New Roman" w:hAnsi="Times New Roman" w:eastAsia="楷体_GB2312"/>
          <w:b/>
          <w:bCs/>
          <w:color w:val="000000"/>
          <w:sz w:val="32"/>
          <w:szCs w:val="32"/>
        </w:rPr>
      </w:pPr>
      <w:bookmarkStart w:id="120" w:name="_Toc13363"/>
      <w:bookmarkStart w:id="121" w:name="_Toc24163"/>
      <w:bookmarkStart w:id="122" w:name="_Toc13241"/>
    </w:p>
    <w:p>
      <w:pPr>
        <w:spacing w:line="550" w:lineRule="exact"/>
        <w:jc w:val="center"/>
        <w:outlineLvl w:val="1"/>
        <w:rPr>
          <w:rFonts w:ascii="Times New Roman" w:hAnsi="Times New Roman" w:eastAsia="楷体_GB2312"/>
          <w:b/>
          <w:bCs/>
          <w:color w:val="000000"/>
          <w:sz w:val="32"/>
          <w:szCs w:val="32"/>
        </w:rPr>
      </w:pPr>
      <w:r>
        <w:rPr>
          <w:rFonts w:hint="eastAsia" w:ascii="Times New Roman" w:hAnsi="Times New Roman" w:eastAsia="楷体_GB2312"/>
          <w:b/>
          <w:bCs/>
          <w:color w:val="000000"/>
          <w:sz w:val="32"/>
          <w:szCs w:val="32"/>
        </w:rPr>
        <w:t>第四节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旅游开发建设保护</w:t>
      </w:r>
      <w:bookmarkEnd w:id="120"/>
      <w:bookmarkEnd w:id="121"/>
      <w:bookmarkEnd w:id="122"/>
      <w:r>
        <w:rPr>
          <w:rFonts w:ascii="Times New Roman" w:hAnsi="Times New Roman" w:eastAsia="楷体_GB2312"/>
          <w:b/>
          <w:bCs/>
          <w:color w:val="000000"/>
          <w:sz w:val="32"/>
          <w:szCs w:val="32"/>
        </w:rPr>
        <w:t xml:space="preserve"> </w:t>
      </w:r>
    </w:p>
    <w:p>
      <w:pPr>
        <w:spacing w:line="55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秦岭旅游景区要适度利用生态资源，明确最大承载量，科学规划、合理设计、总体布局，实现建筑风格、体量与当地生态环境相协调。旅游景区规划要突出生态旅游，符合《条例》和秦岭生态环境保护规划、秦岭旅游专项规划等的要求，依法报有关行政主管部门批准。在依法批准的旅游景区开展生态旅游、建设旅游项目，应当严格执行批准的旅游景区规划，景区管理机构应当制定旅游景区生态环境保护方案，报批准其设立的人民政府审定后组织实施。景区建设、运营应当推广使用环保材料和运输工具，避免和减少对生态环境造成不利影响。</w:t>
      </w:r>
    </w:p>
    <w:p>
      <w:pPr>
        <w:spacing w:line="55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秦岭旅游景区、景点管理机构要加强公共卫生管理，实施景区、景点污水、垃圾处理工程，对产生的生活垃圾实行分类收集、统一清运、集中处置；对产生的生活污水进行无害化处理，保证污水达标排放；禁止随意弃置和排放生活垃圾、污水；优先使用清洁能源，旅游观光车及其他服务设施应符合环境保护要求。对自然生态环境和自然景观有损害的旅游景点和设施，由县政府责令限期整改、关闭或者拆除。旅游基础设施建设应当符合《条例》和秦岭生态环境保护规划等的要求，并依法办理审批手续。在旅游景区规划建设索道、滑道、滑雪（草）场等项目的，应当依法进行环境影响评价，报省人民政府审定后，依法办理审批手续。</w:t>
      </w:r>
    </w:p>
    <w:p>
      <w:pPr>
        <w:spacing w:line="55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乡村旅游应当由县政府统一规划，合理布局。乡村旅游经营集中的地方，县、镇政府、街道办事处和村（居）民委员会应当加强乡村旅游厕所、垃圾容器、垃圾集中处理场所等环境卫生基础设施建设和改造，对生活垃圾和污水统一处置。</w:t>
      </w:r>
    </w:p>
    <w:p>
      <w:pPr>
        <w:spacing w:line="55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禁止在核心保护区和饮用水水源保护区、地质灾害隐患点范围内开办农家乐、民宿，禁止占用耕地、林地、河道、公路用地及公路建筑控制区开办农家乐、民宿。加强农家乐规范化管理，规范审批手续，按照规定设置生活垃圾、污水</w:t>
      </w:r>
      <w:r>
        <w:rPr>
          <w:rFonts w:hint="eastAsia" w:ascii="Times New Roman" w:hAnsi="Times New Roman" w:eastAsia="仿宋_GB2312"/>
          <w:color w:val="000000"/>
          <w:spacing w:val="-6"/>
          <w:sz w:val="32"/>
          <w:szCs w:val="32"/>
        </w:rPr>
        <w:t>收集处理装置，不得随意排放。规划建设农家乐（民宿）要依托原有村落、自有房屋条件，符合《条例》和国土空间规划、秦岭生态环境保护规划、乡村规划等相关规划要求。规划建设沿山公路两侧的农家乐（民宿），应尽量控制在交通便利、人口较集中的村镇周围，其污染防治纳入村镇环境整治进行统一建设。鼓励具备条件地区发展农家乐（民宿）集群式旅游村，</w:t>
      </w:r>
      <w:r>
        <w:rPr>
          <w:rFonts w:hint="eastAsia" w:ascii="Times New Roman" w:hAnsi="Times New Roman" w:eastAsia="仿宋_GB2312"/>
          <w:color w:val="000000"/>
          <w:sz w:val="32"/>
          <w:szCs w:val="32"/>
        </w:rPr>
        <w:t>突出区域、地域特色，开展</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星级农家乐（民宿）</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创建工作。</w:t>
      </w:r>
    </w:p>
    <w:p>
      <w:pPr>
        <w:spacing w:line="550" w:lineRule="exact"/>
        <w:ind w:firstLine="640" w:firstLineChars="200"/>
        <w:rPr>
          <w:rFonts w:ascii="Times New Roman" w:hAnsi="Times New Roman" w:eastAsia="仿宋_GB2312"/>
          <w:color w:val="000000"/>
          <w:sz w:val="32"/>
          <w:szCs w:val="32"/>
        </w:rPr>
      </w:pPr>
    </w:p>
    <w:p>
      <w:pPr>
        <w:spacing w:line="550" w:lineRule="exact"/>
        <w:jc w:val="center"/>
        <w:outlineLvl w:val="0"/>
        <w:rPr>
          <w:rFonts w:ascii="Times New Roman" w:hAnsi="Times New Roman" w:eastAsia="黑体"/>
          <w:color w:val="000000"/>
          <w:sz w:val="32"/>
          <w:szCs w:val="32"/>
        </w:rPr>
      </w:pPr>
      <w:bookmarkStart w:id="123" w:name="_Toc23810"/>
      <w:bookmarkStart w:id="124" w:name="_Toc15156"/>
      <w:bookmarkStart w:id="125" w:name="_Toc19626"/>
      <w:r>
        <w:rPr>
          <w:rFonts w:hint="eastAsia" w:ascii="Times New Roman" w:hAnsi="Times New Roman" w:eastAsia="黑体"/>
          <w:color w:val="000000"/>
          <w:sz w:val="32"/>
          <w:szCs w:val="32"/>
        </w:rPr>
        <w:t>第八章</w:t>
      </w:r>
      <w:r>
        <w:rPr>
          <w:rFonts w:ascii="Times New Roman" w:hAnsi="Times New Roman" w:eastAsia="黑体"/>
          <w:color w:val="000000"/>
          <w:sz w:val="32"/>
          <w:szCs w:val="32"/>
        </w:rPr>
        <w:t xml:space="preserve">  </w:t>
      </w:r>
      <w:r>
        <w:rPr>
          <w:rFonts w:hint="eastAsia" w:ascii="Times New Roman" w:hAnsi="Times New Roman" w:eastAsia="黑体"/>
          <w:color w:val="000000"/>
          <w:sz w:val="32"/>
          <w:szCs w:val="32"/>
        </w:rPr>
        <w:t>推进生态环境修复治理</w:t>
      </w:r>
      <w:bookmarkEnd w:id="123"/>
      <w:bookmarkEnd w:id="124"/>
      <w:bookmarkEnd w:id="125"/>
    </w:p>
    <w:p>
      <w:pPr>
        <w:spacing w:line="550" w:lineRule="exact"/>
        <w:ind w:firstLine="640" w:firstLineChars="200"/>
        <w:rPr>
          <w:rFonts w:ascii="Times New Roman" w:hAnsi="Times New Roman" w:eastAsia="仿宋_GB2312"/>
          <w:color w:val="000000"/>
          <w:sz w:val="32"/>
          <w:szCs w:val="32"/>
        </w:rPr>
      </w:pPr>
    </w:p>
    <w:p>
      <w:pPr>
        <w:spacing w:line="55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坚持保护优先、节约优先、自然恢复为主的方针，持续推进乱搭乱建、</w:t>
      </w:r>
      <w:r>
        <w:rPr>
          <w:rFonts w:hint="eastAsia" w:ascii="Times New Roman" w:hAnsi="Times New Roman" w:eastAsia="仿宋_GB2312"/>
          <w:color w:val="000000"/>
          <w:sz w:val="32"/>
          <w:szCs w:val="32"/>
          <w:lang w:eastAsia="zh-CN"/>
        </w:rPr>
        <w:t>乱砍滥伐</w:t>
      </w:r>
      <w:r>
        <w:rPr>
          <w:rFonts w:hint="eastAsia" w:ascii="Times New Roman" w:hAnsi="Times New Roman" w:eastAsia="仿宋_GB2312"/>
          <w:color w:val="000000"/>
          <w:sz w:val="32"/>
          <w:szCs w:val="32"/>
        </w:rPr>
        <w:t>、乱采乱挖、乱排乱放、乱捕乱猎等</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五乱</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问题整治，区分不同类型、不同区域，合理制定相关修复治理方案，分清轻重缓急，分步实施，切实改善和提升生态功能，建立和维护与自然条件相适应、与经济社会可持续发展相协调、相对稳定和良性发展的生态系统。</w:t>
      </w:r>
    </w:p>
    <w:p>
      <w:pPr>
        <w:spacing w:line="550" w:lineRule="exact"/>
        <w:jc w:val="center"/>
        <w:rPr>
          <w:rFonts w:ascii="Times New Roman" w:hAnsi="Times New Roman" w:eastAsia="楷体_GB2312"/>
          <w:b/>
          <w:bCs/>
          <w:color w:val="000000"/>
          <w:sz w:val="32"/>
          <w:szCs w:val="32"/>
        </w:rPr>
      </w:pPr>
    </w:p>
    <w:p>
      <w:pPr>
        <w:spacing w:line="550" w:lineRule="exact"/>
        <w:jc w:val="center"/>
        <w:outlineLvl w:val="1"/>
        <w:rPr>
          <w:rFonts w:ascii="Times New Roman" w:hAnsi="Times New Roman" w:eastAsia="楷体_GB2312"/>
          <w:b/>
          <w:bCs/>
          <w:color w:val="000000"/>
          <w:sz w:val="32"/>
          <w:szCs w:val="32"/>
        </w:rPr>
      </w:pPr>
      <w:bookmarkStart w:id="126" w:name="_Toc19044"/>
      <w:bookmarkStart w:id="127" w:name="_Toc17566"/>
      <w:bookmarkStart w:id="128" w:name="_Toc13324"/>
      <w:r>
        <w:rPr>
          <w:rFonts w:hint="eastAsia" w:ascii="Times New Roman" w:hAnsi="Times New Roman" w:eastAsia="楷体_GB2312"/>
          <w:b/>
          <w:bCs/>
          <w:color w:val="000000"/>
          <w:sz w:val="32"/>
          <w:szCs w:val="32"/>
        </w:rPr>
        <w:t>第一节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矿山地质环境</w:t>
      </w:r>
      <w:bookmarkEnd w:id="126"/>
      <w:bookmarkEnd w:id="127"/>
      <w:bookmarkEnd w:id="128"/>
    </w:p>
    <w:p>
      <w:pPr>
        <w:spacing w:line="55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按照</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保证安全功能、突出生态功能、兼顾景观功能</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原则，采取宜林则林、宜草则草、宜藤植藤等措施，综合治理矿产资源开发、削山采石等造成的地形地貌和景观破坏、生态环境破坏和环境污染，恢复区域整体生态功能。</w:t>
      </w:r>
    </w:p>
    <w:p>
      <w:pPr>
        <w:spacing w:line="55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全面落实矿产资源开发企业恢复治理主体责任，自然资源、生态环境行政主管部门指导督促矿产资源开发企业编制矿山地质环境保护与土地复垦、生态环境恢复治理方案，并按照方案实施恢复治理。严肃查处不履行生态环境治理修复责任或者治理修复不符合要求等行为。历史遗留无主矿山、政策性关闭矿山、矿山地质环境治理恢复责任人灭失的矿山，由县自然资源局使用县政府批准设立的矿山地质环境治理恢复专项资金进行恢复治理。</w:t>
      </w:r>
    </w:p>
    <w:p>
      <w:pPr>
        <w:spacing w:line="55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加快推进历史遗留矿山地质环境恢复治理，倡导</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政府主导、政策扶持、社会参与、开发式治理、市场化运作</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模式，推进矿山生态修复，确保到</w:t>
      </w:r>
      <w:r>
        <w:rPr>
          <w:rFonts w:ascii="Times New Roman" w:hAnsi="Times New Roman" w:eastAsia="仿宋_GB2312"/>
          <w:color w:val="000000"/>
          <w:sz w:val="32"/>
          <w:szCs w:val="32"/>
        </w:rPr>
        <w:t>2025</w:t>
      </w:r>
      <w:r>
        <w:rPr>
          <w:rFonts w:hint="eastAsia" w:ascii="Times New Roman" w:hAnsi="Times New Roman" w:eastAsia="仿宋_GB2312"/>
          <w:color w:val="000000"/>
          <w:sz w:val="32"/>
          <w:szCs w:val="32"/>
        </w:rPr>
        <w:t>年历史遗留矿山地质环境治理率达到</w:t>
      </w:r>
      <w:r>
        <w:rPr>
          <w:rFonts w:ascii="Times New Roman" w:hAnsi="Times New Roman" w:eastAsia="仿宋_GB2312"/>
          <w:color w:val="000000"/>
          <w:sz w:val="32"/>
          <w:szCs w:val="32"/>
        </w:rPr>
        <w:t>50%</w:t>
      </w:r>
      <w:r>
        <w:rPr>
          <w:rFonts w:hint="eastAsia" w:ascii="Times New Roman" w:hAnsi="Times New Roman" w:eastAsia="仿宋_GB2312"/>
          <w:color w:val="000000"/>
          <w:sz w:val="32"/>
          <w:szCs w:val="32"/>
        </w:rPr>
        <w:t>以上。</w:t>
      </w:r>
    </w:p>
    <w:p>
      <w:pPr>
        <w:spacing w:beforeLines="50" w:afterLines="50" w:line="400" w:lineRule="exact"/>
        <w:jc w:val="center"/>
        <w:rPr>
          <w:rFonts w:ascii="Times New Roman" w:hAnsi="Times New Roman" w:eastAsia="楷体_GB2312"/>
          <w:b/>
          <w:bCs/>
          <w:color w:val="000000"/>
          <w:sz w:val="28"/>
          <w:szCs w:val="28"/>
        </w:rPr>
      </w:pPr>
    </w:p>
    <w:p>
      <w:pPr>
        <w:spacing w:beforeLines="50" w:afterLines="50" w:line="400" w:lineRule="exact"/>
        <w:jc w:val="center"/>
        <w:rPr>
          <w:rFonts w:ascii="Times New Roman" w:hAnsi="Times New Roman" w:eastAsia="楷体_GB2312"/>
          <w:b/>
          <w:bCs/>
          <w:color w:val="000000"/>
          <w:sz w:val="28"/>
          <w:szCs w:val="28"/>
        </w:rPr>
      </w:pPr>
      <w:r>
        <w:rPr>
          <w:rFonts w:hint="eastAsia" w:ascii="Times New Roman" w:hAnsi="Times New Roman" w:eastAsia="楷体_GB2312"/>
          <w:b/>
          <w:bCs/>
          <w:color w:val="000000"/>
          <w:sz w:val="28"/>
          <w:szCs w:val="28"/>
        </w:rPr>
        <w:t>专栏</w:t>
      </w:r>
      <w:r>
        <w:rPr>
          <w:rFonts w:ascii="Times New Roman" w:hAnsi="Times New Roman" w:eastAsia="楷体_GB2312"/>
          <w:b/>
          <w:bCs/>
          <w:color w:val="000000"/>
          <w:sz w:val="28"/>
          <w:szCs w:val="28"/>
        </w:rPr>
        <w:t>13</w:t>
      </w:r>
      <w:r>
        <w:rPr>
          <w:rFonts w:hint="eastAsia" w:ascii="Times New Roman" w:hAnsi="Times New Roman" w:eastAsia="楷体_GB2312"/>
          <w:b/>
          <w:bCs/>
          <w:color w:val="000000"/>
          <w:sz w:val="28"/>
          <w:szCs w:val="28"/>
        </w:rPr>
        <w:t>　矿山地质环境修复与治理重点工程</w:t>
      </w:r>
    </w:p>
    <w:tbl>
      <w:tblPr>
        <w:tblStyle w:val="7"/>
        <w:tblW w:w="9060"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9060"/>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85" w:hRule="atLeast"/>
          <w:jc w:val="center"/>
        </w:trPr>
        <w:tc>
          <w:tcPr>
            <w:tcW w:w="9060" w:type="dxa"/>
            <w:tcBorders>
              <w:top w:val="single" w:color="auto" w:sz="4" w:space="0"/>
              <w:bottom w:val="single" w:color="auto" w:sz="4" w:space="0"/>
            </w:tcBorders>
            <w:vAlign w:val="center"/>
          </w:tcPr>
          <w:p>
            <w:pPr>
              <w:spacing w:line="400" w:lineRule="exact"/>
              <w:ind w:firstLine="482" w:firstLineChars="200"/>
              <w:rPr>
                <w:rFonts w:ascii="Times New Roman" w:hAnsi="Times New Roman" w:eastAsia="仿宋_GB2312"/>
                <w:color w:val="000000"/>
                <w:sz w:val="24"/>
                <w:szCs w:val="28"/>
              </w:rPr>
            </w:pPr>
            <w:r>
              <w:rPr>
                <w:rFonts w:hint="eastAsia" w:ascii="Times New Roman" w:hAnsi="Times New Roman" w:eastAsia="仿宋_GB2312"/>
                <w:b/>
                <w:color w:val="000000"/>
                <w:sz w:val="24"/>
                <w:szCs w:val="28"/>
              </w:rPr>
              <w:t>实施分区分类治理。</w:t>
            </w:r>
            <w:r>
              <w:rPr>
                <w:rFonts w:hint="eastAsia" w:ascii="Times New Roman" w:hAnsi="Times New Roman" w:eastAsia="仿宋_GB2312"/>
                <w:color w:val="000000"/>
                <w:sz w:val="24"/>
                <w:szCs w:val="28"/>
              </w:rPr>
              <w:t>按照</w:t>
            </w:r>
            <w:r>
              <w:rPr>
                <w:rFonts w:ascii="Times New Roman" w:hAnsi="Times New Roman" w:eastAsia="仿宋_GB2312"/>
                <w:color w:val="000000"/>
                <w:sz w:val="24"/>
                <w:szCs w:val="28"/>
              </w:rPr>
              <w:t>“</w:t>
            </w:r>
            <w:r>
              <w:rPr>
                <w:rFonts w:hint="eastAsia" w:ascii="Times New Roman" w:hAnsi="Times New Roman" w:eastAsia="仿宋_GB2312"/>
                <w:color w:val="000000"/>
                <w:sz w:val="24"/>
                <w:szCs w:val="28"/>
              </w:rPr>
              <w:t>区内相似、区间有异</w:t>
            </w:r>
            <w:r>
              <w:rPr>
                <w:rFonts w:ascii="Times New Roman" w:hAnsi="Times New Roman" w:eastAsia="仿宋_GB2312"/>
                <w:color w:val="000000"/>
                <w:sz w:val="24"/>
                <w:szCs w:val="28"/>
              </w:rPr>
              <w:t>”</w:t>
            </w:r>
            <w:r>
              <w:rPr>
                <w:rFonts w:hint="eastAsia" w:ascii="Times New Roman" w:hAnsi="Times New Roman" w:eastAsia="仿宋_GB2312"/>
                <w:color w:val="000000"/>
                <w:sz w:val="24"/>
                <w:szCs w:val="28"/>
              </w:rPr>
              <w:t>原则，结合秦岭生态环境保护要求和相关功能区划，按照矿业开发强度、地质环境影响程度，将按照核心保护区、重点保护区、一般保护区分类进行矿山地质环境治理，建立矿山地质环境修复与治理示范点。</w:t>
            </w:r>
          </w:p>
          <w:p>
            <w:pPr>
              <w:spacing w:line="400" w:lineRule="exact"/>
              <w:ind w:firstLine="482" w:firstLineChars="200"/>
              <w:rPr>
                <w:rFonts w:ascii="Times New Roman" w:hAnsi="Times New Roman" w:eastAsia="仿宋_GB2312"/>
                <w:color w:val="000000"/>
                <w:spacing w:val="-6"/>
                <w:sz w:val="24"/>
                <w:szCs w:val="28"/>
              </w:rPr>
            </w:pPr>
            <w:r>
              <w:rPr>
                <w:rFonts w:hint="eastAsia" w:ascii="Times New Roman" w:hAnsi="Times New Roman" w:eastAsia="仿宋_GB2312"/>
                <w:b/>
                <w:color w:val="000000"/>
                <w:sz w:val="24"/>
                <w:szCs w:val="28"/>
              </w:rPr>
              <w:t>建</w:t>
            </w:r>
            <w:r>
              <w:rPr>
                <w:rFonts w:hint="eastAsia" w:ascii="Times New Roman" w:hAnsi="Times New Roman" w:eastAsia="仿宋_GB2312"/>
                <w:b/>
                <w:color w:val="000000"/>
                <w:spacing w:val="-6"/>
                <w:sz w:val="24"/>
                <w:szCs w:val="28"/>
              </w:rPr>
              <w:t>立动态监测体系。</w:t>
            </w:r>
            <w:r>
              <w:rPr>
                <w:rFonts w:hint="eastAsia" w:ascii="Times New Roman" w:hAnsi="Times New Roman" w:eastAsia="仿宋_GB2312"/>
                <w:color w:val="000000"/>
                <w:spacing w:val="-6"/>
                <w:sz w:val="24"/>
                <w:szCs w:val="28"/>
              </w:rPr>
              <w:t>建立地质环境动态监测体系，加强矿区地质灾害监测、地形地貌景观破坏监测，开展矿区土壤、水质污染监测工作。到</w:t>
            </w:r>
            <w:r>
              <w:rPr>
                <w:rFonts w:ascii="Times New Roman" w:hAnsi="Times New Roman" w:eastAsia="仿宋_GB2312"/>
                <w:color w:val="000000"/>
                <w:spacing w:val="-6"/>
                <w:sz w:val="24"/>
                <w:szCs w:val="28"/>
              </w:rPr>
              <w:t>2025</w:t>
            </w:r>
            <w:r>
              <w:rPr>
                <w:rFonts w:hint="eastAsia" w:ascii="Times New Roman" w:hAnsi="Times New Roman" w:eastAsia="仿宋_GB2312"/>
                <w:color w:val="000000"/>
                <w:spacing w:val="-6"/>
                <w:sz w:val="24"/>
                <w:szCs w:val="28"/>
              </w:rPr>
              <w:t>年，实现矿山地质环境动态监测体系全覆盖，</w:t>
            </w:r>
          </w:p>
          <w:p>
            <w:pPr>
              <w:spacing w:line="400" w:lineRule="exact"/>
              <w:ind w:firstLine="458" w:firstLineChars="200"/>
              <w:rPr>
                <w:rFonts w:ascii="Times New Roman" w:hAnsi="Times New Roman" w:eastAsia="仿宋_GB2312"/>
                <w:bCs/>
                <w:color w:val="000000"/>
                <w:sz w:val="24"/>
                <w:szCs w:val="28"/>
              </w:rPr>
            </w:pPr>
            <w:r>
              <w:rPr>
                <w:rFonts w:hint="eastAsia" w:ascii="Times New Roman" w:hAnsi="Times New Roman" w:eastAsia="仿宋_GB2312"/>
                <w:b/>
                <w:color w:val="000000"/>
                <w:spacing w:val="-6"/>
                <w:sz w:val="24"/>
                <w:szCs w:val="28"/>
              </w:rPr>
              <w:t>矿山治理与修复工程。</w:t>
            </w:r>
            <w:r>
              <w:rPr>
                <w:rFonts w:hint="eastAsia" w:ascii="Times New Roman" w:hAnsi="Times New Roman" w:eastAsia="仿宋_GB2312"/>
                <w:color w:val="000000"/>
                <w:spacing w:val="-6"/>
                <w:sz w:val="24"/>
                <w:szCs w:val="28"/>
              </w:rPr>
              <w:t>加大矿山综合治理、矿山生态恢复治理力度，实施生态修复治理。</w:t>
            </w:r>
            <w:r>
              <w:rPr>
                <w:rFonts w:hint="eastAsia" w:ascii="Times New Roman" w:hAnsi="Times New Roman" w:eastAsia="仿宋_GB2312"/>
                <w:color w:val="000000"/>
                <w:sz w:val="24"/>
              </w:rPr>
              <w:t>设立矿山地质环境治理恢复基金。从矿业权收益中投入拿出一定比例，投入基金账户，用于历史以遗留矿山恢复治理。</w:t>
            </w:r>
            <w:r>
              <w:rPr>
                <w:rFonts w:hint="eastAsia" w:ascii="Times New Roman" w:hAnsi="Times New Roman" w:eastAsia="仿宋_GB2312"/>
                <w:color w:val="000000"/>
                <w:spacing w:val="-6"/>
                <w:sz w:val="24"/>
                <w:szCs w:val="28"/>
              </w:rPr>
              <w:t>到</w:t>
            </w:r>
            <w:r>
              <w:rPr>
                <w:rFonts w:ascii="Times New Roman" w:hAnsi="Times New Roman" w:eastAsia="仿宋_GB2312"/>
                <w:color w:val="000000"/>
                <w:spacing w:val="-6"/>
                <w:sz w:val="24"/>
                <w:szCs w:val="28"/>
              </w:rPr>
              <w:t>2025</w:t>
            </w:r>
            <w:r>
              <w:rPr>
                <w:rFonts w:hint="eastAsia" w:ascii="Times New Roman" w:hAnsi="Times New Roman" w:eastAsia="仿宋_GB2312"/>
                <w:color w:val="000000"/>
                <w:spacing w:val="-6"/>
                <w:sz w:val="24"/>
                <w:szCs w:val="28"/>
              </w:rPr>
              <w:t>年，历史遗留矿山地质环境治理率达到</w:t>
            </w:r>
            <w:r>
              <w:rPr>
                <w:rFonts w:ascii="Times New Roman" w:hAnsi="Times New Roman" w:eastAsia="仿宋_GB2312"/>
                <w:color w:val="000000"/>
                <w:spacing w:val="-6"/>
                <w:sz w:val="24"/>
                <w:szCs w:val="28"/>
              </w:rPr>
              <w:t>50%</w:t>
            </w:r>
            <w:r>
              <w:rPr>
                <w:rFonts w:hint="eastAsia" w:ascii="Times New Roman" w:hAnsi="Times New Roman" w:eastAsia="仿宋_GB2312"/>
                <w:color w:val="000000"/>
                <w:spacing w:val="-6"/>
                <w:sz w:val="24"/>
                <w:szCs w:val="28"/>
              </w:rPr>
              <w:t>以上。</w:t>
            </w:r>
          </w:p>
        </w:tc>
      </w:tr>
    </w:tbl>
    <w:p>
      <w:pPr>
        <w:spacing w:line="560" w:lineRule="exact"/>
        <w:jc w:val="center"/>
        <w:outlineLvl w:val="1"/>
        <w:rPr>
          <w:rFonts w:ascii="Times New Roman" w:hAnsi="Times New Roman" w:eastAsia="楷体_GB2312"/>
          <w:b/>
          <w:bCs/>
          <w:color w:val="000000"/>
          <w:sz w:val="32"/>
          <w:szCs w:val="32"/>
        </w:rPr>
      </w:pPr>
      <w:bookmarkStart w:id="129" w:name="_Toc21982"/>
      <w:bookmarkStart w:id="130" w:name="_Toc14979"/>
      <w:bookmarkStart w:id="131" w:name="_Toc14606"/>
    </w:p>
    <w:p>
      <w:pPr>
        <w:spacing w:line="560" w:lineRule="exact"/>
        <w:jc w:val="center"/>
        <w:outlineLvl w:val="1"/>
        <w:rPr>
          <w:rFonts w:ascii="Times New Roman" w:hAnsi="Times New Roman" w:eastAsia="楷体_GB2312"/>
          <w:b/>
          <w:bCs/>
          <w:color w:val="000000"/>
          <w:sz w:val="32"/>
          <w:szCs w:val="32"/>
        </w:rPr>
      </w:pPr>
      <w:r>
        <w:rPr>
          <w:rFonts w:hint="eastAsia" w:ascii="Times New Roman" w:hAnsi="Times New Roman" w:eastAsia="楷体_GB2312"/>
          <w:b/>
          <w:bCs/>
          <w:color w:val="000000"/>
          <w:sz w:val="32"/>
          <w:szCs w:val="32"/>
        </w:rPr>
        <w:t>第二节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小水电站</w:t>
      </w:r>
      <w:bookmarkEnd w:id="129"/>
      <w:bookmarkEnd w:id="130"/>
      <w:bookmarkEnd w:id="131"/>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在核心保护区、重点保护区内禁止新建水电站。一般保护区原则上不再新建小水电站项目。</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依据省政府审批的秦岭区域小水电退出、拆除和整治工作实施方案，分类推进小水电站整治。对保留的项目，造成河流脱流的，应当通过改建或新建生态流量泄放设施、调整调度运行方式等措施，保证河流正常生态需水要求，对影响水生生物洄游繁殖的应当补建水生生物洄游通道和远程监管设施。</w:t>
      </w:r>
    </w:p>
    <w:p>
      <w:pPr>
        <w:spacing w:line="560" w:lineRule="exact"/>
        <w:ind w:firstLine="640" w:firstLineChars="200"/>
        <w:rPr>
          <w:rFonts w:ascii="Times New Roman" w:hAnsi="Times New Roman" w:eastAsia="仿宋_GB2312"/>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132" w:name="_Toc6373"/>
      <w:bookmarkStart w:id="133" w:name="_Toc19072"/>
      <w:bookmarkStart w:id="134" w:name="_Toc17533"/>
      <w:r>
        <w:rPr>
          <w:rFonts w:hint="eastAsia" w:ascii="Times New Roman" w:hAnsi="Times New Roman" w:eastAsia="楷体_GB2312"/>
          <w:b/>
          <w:bCs/>
          <w:color w:val="000000"/>
          <w:sz w:val="32"/>
          <w:szCs w:val="32"/>
        </w:rPr>
        <w:t>第三节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尾矿库</w:t>
      </w:r>
      <w:bookmarkEnd w:id="132"/>
      <w:bookmarkEnd w:id="133"/>
      <w:bookmarkEnd w:id="134"/>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全面排查在用、停用及闭库后再利用的尾矿库，督促企业开展尾矿库环境风险和安全隐患排查治理，编制尾矿库环境应急和安全生产应急预案。遵循</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限小建大</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的原则，强化尾矿库及</w:t>
      </w:r>
      <w:r>
        <w:rPr>
          <w:rFonts w:hint="eastAsia" w:ascii="Times New Roman" w:hAnsi="Times New Roman" w:eastAsia="仿宋"/>
          <w:color w:val="000000"/>
          <w:sz w:val="32"/>
          <w:szCs w:val="32"/>
        </w:rPr>
        <w:t>大中型排渣场</w:t>
      </w:r>
      <w:r>
        <w:rPr>
          <w:rFonts w:hint="eastAsia" w:ascii="Times New Roman" w:hAnsi="Times New Roman" w:eastAsia="仿宋_GB2312"/>
          <w:color w:val="000000"/>
          <w:sz w:val="32"/>
          <w:szCs w:val="32"/>
        </w:rPr>
        <w:t>源头监管。加强尾矿库安全监督管理，组织联合巡查和隐患排查，深入开展尾矿库重大事故隐患治理，关闭不具备安全生产条件的尾矿库。到</w:t>
      </w:r>
      <w:r>
        <w:rPr>
          <w:rFonts w:ascii="Times New Roman" w:hAnsi="Times New Roman" w:eastAsia="仿宋_GB2312"/>
          <w:color w:val="000000"/>
          <w:sz w:val="32"/>
          <w:szCs w:val="32"/>
        </w:rPr>
        <w:t>2025</w:t>
      </w:r>
      <w:r>
        <w:rPr>
          <w:rFonts w:hint="eastAsia" w:ascii="Times New Roman" w:hAnsi="Times New Roman" w:eastAsia="仿宋_GB2312"/>
          <w:color w:val="000000"/>
          <w:sz w:val="32"/>
          <w:szCs w:val="32"/>
        </w:rPr>
        <w:t>年，闭库销号一批无主库和长期停用尾矿库。到</w:t>
      </w:r>
      <w:r>
        <w:rPr>
          <w:rFonts w:ascii="Times New Roman" w:hAnsi="Times New Roman" w:eastAsia="仿宋_GB2312"/>
          <w:color w:val="000000"/>
          <w:sz w:val="32"/>
          <w:szCs w:val="32"/>
        </w:rPr>
        <w:t>2035</w:t>
      </w:r>
      <w:r>
        <w:rPr>
          <w:rFonts w:hint="eastAsia" w:ascii="Times New Roman" w:hAnsi="Times New Roman" w:eastAsia="仿宋_GB2312"/>
          <w:color w:val="000000"/>
          <w:sz w:val="32"/>
          <w:szCs w:val="32"/>
        </w:rPr>
        <w:t>年，推动尾矿库安全生产管控体系有效运转，尾矿库本质安全水平得到显著提升。</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矿产资源开发企业对尾矿库安全终身负责，按照</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谁开发，谁治理</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的原则，严格落实矿产资源开发企业安全生产、环境保护主体责任，提高建设标准，排查治理安全隐患和环境风险，确保尾矿库安全运行。对已解散或者关闭、破产的矿产资源开发企业尾矿库的管理，由矿产资源开发企业的出资人或者其上级主管单位负责；无法确定责任人的，由县政府指定管理单位负责。</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鼓励支持尾矿综合利用，以矿山企业为主体实施固体废弃物资源化综合利用示范工程，提高固体废弃物资源化利用率，减少污染物排放。</w:t>
      </w:r>
    </w:p>
    <w:p>
      <w:pPr>
        <w:spacing w:line="560" w:lineRule="exact"/>
        <w:jc w:val="center"/>
        <w:outlineLvl w:val="1"/>
        <w:rPr>
          <w:rFonts w:ascii="Times New Roman" w:hAnsi="Times New Roman" w:eastAsia="楷体_GB2312"/>
          <w:b/>
          <w:bCs/>
          <w:color w:val="000000"/>
          <w:sz w:val="32"/>
          <w:szCs w:val="32"/>
        </w:rPr>
      </w:pPr>
      <w:bookmarkStart w:id="135" w:name="_Toc8411"/>
      <w:bookmarkStart w:id="136" w:name="_Toc5344"/>
      <w:bookmarkStart w:id="137" w:name="_Toc17692"/>
      <w:r>
        <w:rPr>
          <w:rFonts w:hint="eastAsia" w:ascii="Times New Roman" w:hAnsi="Times New Roman" w:eastAsia="楷体_GB2312"/>
          <w:b/>
          <w:bCs/>
          <w:color w:val="000000"/>
          <w:sz w:val="32"/>
          <w:szCs w:val="32"/>
        </w:rPr>
        <w:t>第四节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地质灾害</w:t>
      </w:r>
      <w:bookmarkEnd w:id="135"/>
      <w:bookmarkEnd w:id="136"/>
      <w:bookmarkEnd w:id="137"/>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开展地质灾害调查与评价，摸清全县崩塌、滑坡、泥石流等地质灾害发育地带和数量，科学分析降水等致灾因素，有计划地进行重点城镇、村组地质灾害评估，完成地质灾害易发区和重点防治区划定。根据秦岭地质环境变化情况，适时组织开展重点区域地质灾害补充调查。</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因自然因素造成的地质灾害，确需治理的，由自然资源行政主管部门组织实施，所需治理经费由县政府按照国家有关规定列入财政预算。因工程建设等人为活动引发的地质灾害，由责任单位承担治理责任，并负担地质灾害治理工程所需的勘查、设计、施工、监理、维护等费用。</w:t>
      </w:r>
    </w:p>
    <w:p>
      <w:pPr>
        <w:spacing w:line="560" w:lineRule="exact"/>
        <w:ind w:firstLine="640" w:firstLineChars="200"/>
        <w:rPr>
          <w:rFonts w:ascii="Times New Roman" w:hAnsi="Times New Roman" w:eastAsia="楷体_GB2312"/>
          <w:b/>
          <w:bCs/>
          <w:color w:val="000000"/>
          <w:sz w:val="32"/>
          <w:szCs w:val="32"/>
        </w:rPr>
      </w:pPr>
      <w:r>
        <w:rPr>
          <w:rFonts w:hint="eastAsia" w:ascii="Times New Roman" w:hAnsi="Times New Roman" w:eastAsia="仿宋_GB2312"/>
          <w:color w:val="000000"/>
          <w:sz w:val="32"/>
          <w:szCs w:val="32"/>
        </w:rPr>
        <w:t>完善地质灾害</w:t>
      </w:r>
      <w:r>
        <w:rPr>
          <w:rFonts w:hint="eastAsia" w:ascii="Times New Roman" w:hAnsi="Times New Roman" w:eastAsia="仿宋_GB2312"/>
          <w:color w:val="000000"/>
          <w:spacing w:val="-6"/>
          <w:sz w:val="32"/>
          <w:szCs w:val="32"/>
        </w:rPr>
        <w:t>综合防治体系，加强地质灾害专业监测能力建设，建立地质灾害监测网络和预警信息系统，加快推进地质灾害大数据中心、监测预警会商平台建设，提升地质灾害防御能力。</w:t>
      </w:r>
    </w:p>
    <w:p>
      <w:pPr>
        <w:spacing w:line="560" w:lineRule="exact"/>
        <w:jc w:val="center"/>
        <w:outlineLvl w:val="1"/>
        <w:rPr>
          <w:rFonts w:ascii="Times New Roman" w:hAnsi="Times New Roman" w:eastAsia="楷体_GB2312"/>
          <w:b/>
          <w:bCs/>
          <w:color w:val="000000"/>
          <w:sz w:val="32"/>
          <w:szCs w:val="32"/>
        </w:rPr>
      </w:pPr>
      <w:bookmarkStart w:id="138" w:name="_Toc5046"/>
      <w:bookmarkStart w:id="139" w:name="_Toc17773"/>
      <w:bookmarkStart w:id="140" w:name="_Toc21685"/>
    </w:p>
    <w:p>
      <w:pPr>
        <w:spacing w:line="560" w:lineRule="exact"/>
        <w:jc w:val="center"/>
        <w:outlineLvl w:val="1"/>
        <w:rPr>
          <w:rFonts w:ascii="Times New Roman" w:hAnsi="Times New Roman" w:eastAsia="楷体_GB2312"/>
          <w:b/>
          <w:bCs/>
          <w:color w:val="000000"/>
          <w:sz w:val="32"/>
          <w:szCs w:val="32"/>
        </w:rPr>
      </w:pPr>
      <w:r>
        <w:rPr>
          <w:rFonts w:hint="eastAsia" w:ascii="Times New Roman" w:hAnsi="Times New Roman" w:eastAsia="楷体_GB2312"/>
          <w:b/>
          <w:bCs/>
          <w:color w:val="000000"/>
          <w:sz w:val="32"/>
          <w:szCs w:val="32"/>
        </w:rPr>
        <w:t>第五节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农业农村环境</w:t>
      </w:r>
      <w:bookmarkEnd w:id="138"/>
      <w:bookmarkEnd w:id="139"/>
      <w:bookmarkEnd w:id="140"/>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加强农村环境治理，推进新一轮农村人居环境综合整治，建设健康、宜居、美丽家园。鼓励就地就近资源化利用，因地制宜推进农村生活垃圾</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户分类、村收集、镇处理</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模式。以洛河沿岸为重点，加快推进重点镇污水垃圾设施建设，积极推进城镇污水、垃圾处理设施和服务向农村延伸。实施</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厕所革命</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开展农村厕所无害化改造，因地制宜合理选择上下水冲式、三格化粪式、双瓮式、漏斗式等改厕模式，同步实施粪污有效治理，稳步推进生活垃圾污水处理设施建设运行维护政府购买社会服务的机制。持续推进秸秆饲料化、肥料化、基料化综合利用。</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加强农业面源污染防治，实施化肥减量化行动，集成推广配方施肥、玉米种肥同播、小麦一次性施肥等施肥技术和新型肥料产品，不断提高肥料利用率，建立化肥减量增效试点。鼓励开展秸秆还田、种植绿肥、增施有机肥和生物菌肥，合理调整施肥结构，引导农民积极施用农家肥。积极推进农药减量和农膜回收利用。加快绿色防控技术推广，提升防控装备水平，有效提升病虫害防治组织化程度和科学化水平。按照农牧结合、种养平衡的原则，科学规划布局畜禽养殖，推行标准化规模养殖，配套建设粪便污水贮存、处理、利用设施，因地制宜推广畜禽粪污综合利用技术模式，规范和引导畜禽养殖场做好废弃物资源化利用，进行健康生态养殖。</w:t>
      </w:r>
    </w:p>
    <w:p>
      <w:pPr>
        <w:spacing w:line="560" w:lineRule="exact"/>
        <w:jc w:val="center"/>
        <w:outlineLvl w:val="1"/>
        <w:rPr>
          <w:rFonts w:ascii="Times New Roman" w:hAnsi="Times New Roman" w:eastAsia="楷体_GB2312"/>
          <w:b/>
          <w:bCs/>
          <w:color w:val="000000"/>
          <w:sz w:val="32"/>
          <w:szCs w:val="32"/>
        </w:rPr>
      </w:pPr>
      <w:bookmarkStart w:id="141" w:name="_Toc18582"/>
      <w:bookmarkStart w:id="142" w:name="_Toc22866"/>
      <w:bookmarkStart w:id="143" w:name="_Toc19161"/>
    </w:p>
    <w:p>
      <w:pPr>
        <w:spacing w:line="560" w:lineRule="exact"/>
        <w:jc w:val="center"/>
        <w:outlineLvl w:val="1"/>
        <w:rPr>
          <w:rFonts w:ascii="Times New Roman" w:hAnsi="Times New Roman" w:eastAsia="楷体_GB2312"/>
          <w:b/>
          <w:bCs/>
          <w:color w:val="000000"/>
          <w:sz w:val="32"/>
          <w:szCs w:val="32"/>
        </w:rPr>
      </w:pPr>
      <w:r>
        <w:rPr>
          <w:rFonts w:hint="eastAsia" w:ascii="Times New Roman" w:hAnsi="Times New Roman" w:eastAsia="楷体_GB2312"/>
          <w:b/>
          <w:bCs/>
          <w:color w:val="000000"/>
          <w:sz w:val="32"/>
          <w:szCs w:val="32"/>
        </w:rPr>
        <w:t>第六节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重金属污染</w:t>
      </w:r>
      <w:bookmarkEnd w:id="141"/>
      <w:bookmarkEnd w:id="142"/>
      <w:bookmarkEnd w:id="143"/>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加快淘汰不符合国家和陕西省产业政策的涉重金属矿产资源开采、选矿、冶炼企业，责令关停重金属污染物排放强度大、污染物排放长期超标、经限期治理后仍不达标的企业。鼓励企业使用清洁生产先进技术，提高资源利用率，减少重金属污染物的产生和排放。推进重金属污染防治、土壤修复示范工程，解决有色金属采选及冶炼产生的固体废弃物污染历史遗留问题。</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加强企业重金属监测体系建设，建立部门联合监管体系。建立涉重点重金属预警和事故应急体系。</w:t>
      </w:r>
    </w:p>
    <w:p>
      <w:pPr>
        <w:pStyle w:val="2"/>
        <w:spacing w:after="0" w:line="560" w:lineRule="exact"/>
        <w:rPr>
          <w:rFonts w:ascii="Times New Roman" w:hAnsi="Times New Roman" w:eastAsia="方正小标宋简体"/>
          <w:color w:val="000000"/>
          <w:sz w:val="44"/>
          <w:szCs w:val="44"/>
        </w:rPr>
      </w:pPr>
    </w:p>
    <w:p>
      <w:pPr>
        <w:spacing w:line="560" w:lineRule="exact"/>
        <w:jc w:val="center"/>
        <w:outlineLvl w:val="0"/>
        <w:rPr>
          <w:rFonts w:ascii="Times New Roman" w:hAnsi="Times New Roman" w:eastAsia="黑体"/>
          <w:color w:val="000000"/>
          <w:sz w:val="32"/>
          <w:szCs w:val="32"/>
        </w:rPr>
      </w:pPr>
      <w:bookmarkStart w:id="144" w:name="_Toc23597"/>
      <w:bookmarkStart w:id="145" w:name="_Toc21213"/>
      <w:bookmarkStart w:id="146" w:name="_Toc9867"/>
      <w:r>
        <w:rPr>
          <w:rFonts w:hint="eastAsia" w:ascii="Times New Roman" w:hAnsi="Times New Roman" w:eastAsia="黑体"/>
          <w:color w:val="000000"/>
          <w:sz w:val="32"/>
          <w:szCs w:val="32"/>
        </w:rPr>
        <w:t>第九章</w:t>
      </w:r>
      <w:r>
        <w:rPr>
          <w:rFonts w:ascii="Times New Roman" w:hAnsi="Times New Roman" w:eastAsia="黑体"/>
          <w:color w:val="000000"/>
          <w:sz w:val="32"/>
          <w:szCs w:val="32"/>
        </w:rPr>
        <w:t xml:space="preserve">  </w:t>
      </w:r>
      <w:r>
        <w:rPr>
          <w:rFonts w:hint="eastAsia" w:ascii="Times New Roman" w:hAnsi="Times New Roman" w:eastAsia="黑体"/>
          <w:color w:val="000000"/>
          <w:sz w:val="32"/>
          <w:szCs w:val="32"/>
        </w:rPr>
        <w:t>加快绿色循环发展</w:t>
      </w:r>
      <w:bookmarkEnd w:id="144"/>
      <w:bookmarkEnd w:id="145"/>
      <w:bookmarkEnd w:id="146"/>
    </w:p>
    <w:p>
      <w:pPr>
        <w:spacing w:line="560" w:lineRule="exact"/>
        <w:ind w:firstLine="640" w:firstLineChars="200"/>
        <w:rPr>
          <w:rFonts w:ascii="Times New Roman" w:hAnsi="Times New Roman" w:eastAsia="仿宋_GB2312"/>
          <w:color w:val="000000"/>
          <w:sz w:val="32"/>
          <w:szCs w:val="32"/>
        </w:rPr>
      </w:pP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挖掘生态、区位、资源、文化</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四大潜能</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，培育特色农业、大健康、大旅游、新材料</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四大产业增长极</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，形成近接关中平原城市群、中原城市群</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两群</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，远承长三角、珠三角经济圈</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两圈</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，融入</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一带一路</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和长江经济带</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两带</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的</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三大空间格局</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加大产业发展政策资金扶持力度，用大项目、大企业、大产业支撑发展，推动要素资源由零星聚集向集中汇聚转变、由企业模式向产业模式转变、由本土导向向全球导向转变，不断增强经济创新力和竞争力，加快形成以生态产业化和产业生态化为主体的生态经济体系，奋力谱写洛南新时代追赶超越新篇章。</w:t>
      </w:r>
    </w:p>
    <w:p>
      <w:pPr>
        <w:spacing w:line="560" w:lineRule="exact"/>
        <w:jc w:val="center"/>
        <w:outlineLvl w:val="1"/>
        <w:rPr>
          <w:rFonts w:ascii="Times New Roman" w:hAnsi="Times New Roman" w:eastAsia="楷体_GB2312"/>
          <w:b/>
          <w:bCs/>
          <w:color w:val="000000"/>
          <w:sz w:val="32"/>
          <w:szCs w:val="32"/>
        </w:rPr>
      </w:pPr>
      <w:bookmarkStart w:id="147" w:name="_Toc4693"/>
      <w:bookmarkStart w:id="148" w:name="_Toc3578"/>
      <w:bookmarkStart w:id="149" w:name="_Toc16941"/>
    </w:p>
    <w:p>
      <w:pPr>
        <w:spacing w:line="560" w:lineRule="exact"/>
        <w:jc w:val="center"/>
        <w:outlineLvl w:val="1"/>
        <w:rPr>
          <w:rFonts w:ascii="Times New Roman" w:hAnsi="Times New Roman" w:eastAsia="楷体_GB2312"/>
          <w:b/>
          <w:bCs/>
          <w:color w:val="000000"/>
          <w:sz w:val="32"/>
          <w:szCs w:val="32"/>
        </w:rPr>
      </w:pPr>
      <w:r>
        <w:rPr>
          <w:rFonts w:hint="eastAsia" w:ascii="Times New Roman" w:hAnsi="Times New Roman" w:eastAsia="楷体_GB2312"/>
          <w:b/>
          <w:bCs/>
          <w:color w:val="000000"/>
          <w:sz w:val="32"/>
          <w:szCs w:val="32"/>
        </w:rPr>
        <w:t>第一节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循环经济</w:t>
      </w:r>
      <w:bookmarkEnd w:id="147"/>
      <w:bookmarkEnd w:id="148"/>
      <w:bookmarkEnd w:id="149"/>
    </w:p>
    <w:p>
      <w:pPr>
        <w:pStyle w:val="16"/>
        <w:widowControl w:val="0"/>
        <w:spacing w:line="560" w:lineRule="exact"/>
        <w:ind w:firstLine="641"/>
        <w:rPr>
          <w:rFonts w:ascii="Times New Roman" w:hAnsi="Times New Roman" w:eastAsia="仿宋_GB2312" w:cs="Times New Roman"/>
          <w:color w:val="000000"/>
          <w:spacing w:val="-6"/>
          <w:kern w:val="2"/>
          <w:sz w:val="32"/>
          <w:szCs w:val="32"/>
        </w:rPr>
      </w:pPr>
      <w:r>
        <w:rPr>
          <w:rFonts w:hint="eastAsia" w:ascii="Times New Roman" w:hAnsi="Times New Roman" w:eastAsia="仿宋_GB2312" w:cs="Times New Roman"/>
          <w:color w:val="000000"/>
          <w:spacing w:val="-6"/>
          <w:kern w:val="2"/>
          <w:sz w:val="32"/>
          <w:szCs w:val="32"/>
        </w:rPr>
        <w:t>提高绿色循环发展水平，推动企业循环式生产、园区循环式发展、产业循环式组合，构建以洛南工业园区为主体，以主导产业明晰、服务功能完善、环保要求达标的特色循环经济园区为支撑的绿色循环发展新格局，加快形成节约资源和保护环境的空间格局、产业结构，坚定不移走生态优先、绿色发展之路，实现产业生态化、生态产业化。</w:t>
      </w:r>
    </w:p>
    <w:p>
      <w:pPr>
        <w:pStyle w:val="16"/>
        <w:widowControl w:val="0"/>
        <w:spacing w:line="560" w:lineRule="exact"/>
        <w:ind w:firstLine="641"/>
        <w:rPr>
          <w:rFonts w:ascii="Times New Roman" w:hAnsi="Times New Roman" w:eastAsia="仿宋_GB2312" w:cs="Times New Roman"/>
          <w:color w:val="000000"/>
          <w:spacing w:val="-6"/>
          <w:kern w:val="2"/>
          <w:sz w:val="32"/>
          <w:szCs w:val="32"/>
        </w:rPr>
      </w:pPr>
      <w:r>
        <w:rPr>
          <w:rFonts w:hint="eastAsia" w:ascii="Times New Roman" w:hAnsi="Times New Roman" w:eastAsia="仿宋_GB2312" w:cs="Times New Roman"/>
          <w:color w:val="000000"/>
          <w:spacing w:val="-6"/>
          <w:kern w:val="2"/>
          <w:sz w:val="32"/>
          <w:szCs w:val="32"/>
        </w:rPr>
        <w:t>加快产业转型升级。以绿色化改造为重点</w:t>
      </w:r>
      <w:r>
        <w:rPr>
          <w:rFonts w:ascii="Times New Roman" w:hAnsi="Times New Roman" w:eastAsia="仿宋_GB2312" w:cs="Times New Roman"/>
          <w:color w:val="000000"/>
          <w:spacing w:val="-6"/>
          <w:kern w:val="2"/>
          <w:sz w:val="32"/>
          <w:szCs w:val="32"/>
        </w:rPr>
        <w:t>,</w:t>
      </w:r>
      <w:r>
        <w:rPr>
          <w:rFonts w:hint="eastAsia" w:ascii="Times New Roman" w:hAnsi="Times New Roman" w:eastAsia="仿宋_GB2312" w:cs="Times New Roman"/>
          <w:color w:val="000000"/>
          <w:spacing w:val="-6"/>
          <w:kern w:val="2"/>
          <w:sz w:val="32"/>
          <w:szCs w:val="32"/>
        </w:rPr>
        <w:t>强化产品全生命周期绿色管理，推动产业高效清洁低碳循环和可持续发展，实现更多洛南制造向洛南创造、洛南产品向洛南品牌转变。以智能化改造为重点，发展智能装备和智能产品，引导企业实施设备换芯、生产换线、机器换人，全面提升企业研发、生产、管理、服务的智能化水平。加强</w:t>
      </w:r>
      <w:r>
        <w:rPr>
          <w:rFonts w:ascii="Times New Roman" w:hAnsi="Times New Roman" w:eastAsia="仿宋_GB2312" w:cs="Times New Roman"/>
          <w:color w:val="000000"/>
          <w:spacing w:val="-6"/>
          <w:kern w:val="2"/>
          <w:sz w:val="32"/>
          <w:szCs w:val="32"/>
        </w:rPr>
        <w:t>“</w:t>
      </w:r>
      <w:r>
        <w:rPr>
          <w:rFonts w:hint="eastAsia" w:ascii="Times New Roman" w:hAnsi="Times New Roman" w:eastAsia="仿宋_GB2312" w:cs="Times New Roman"/>
          <w:color w:val="000000"/>
          <w:spacing w:val="-6"/>
          <w:kern w:val="2"/>
          <w:sz w:val="32"/>
          <w:szCs w:val="32"/>
        </w:rPr>
        <w:t>智慧洛南</w:t>
      </w:r>
      <w:r>
        <w:rPr>
          <w:rFonts w:ascii="Times New Roman" w:hAnsi="Times New Roman" w:eastAsia="仿宋_GB2312" w:cs="Times New Roman"/>
          <w:color w:val="000000"/>
          <w:spacing w:val="-6"/>
          <w:kern w:val="2"/>
          <w:sz w:val="32"/>
          <w:szCs w:val="32"/>
        </w:rPr>
        <w:t>”</w:t>
      </w:r>
      <w:r>
        <w:rPr>
          <w:rFonts w:hint="eastAsia" w:ascii="Times New Roman" w:hAnsi="Times New Roman" w:eastAsia="仿宋_GB2312" w:cs="Times New Roman"/>
          <w:color w:val="000000"/>
          <w:spacing w:val="-6"/>
          <w:kern w:val="2"/>
          <w:sz w:val="32"/>
          <w:szCs w:val="32"/>
        </w:rPr>
        <w:t>建设顶层设计，推进</w:t>
      </w:r>
      <w:bookmarkStart w:id="150" w:name="baidusnap3"/>
      <w:bookmarkEnd w:id="150"/>
      <w:r>
        <w:rPr>
          <w:rFonts w:hint="eastAsia" w:ascii="Times New Roman" w:hAnsi="Times New Roman" w:eastAsia="仿宋_GB2312" w:cs="Times New Roman"/>
          <w:color w:val="000000"/>
          <w:spacing w:val="-6"/>
          <w:kern w:val="2"/>
          <w:sz w:val="32"/>
          <w:szCs w:val="32"/>
        </w:rPr>
        <w:t>产业数字化、数字产业化，促进互联网、大数据、人工智能与实体经济深度融合，创建数字经济示范县。以技术化改造为重点，引导和推动企业以市场为导向</w:t>
      </w:r>
      <w:r>
        <w:rPr>
          <w:rFonts w:ascii="Times New Roman" w:hAnsi="Times New Roman" w:eastAsia="仿宋_GB2312" w:cs="Times New Roman"/>
          <w:color w:val="000000"/>
          <w:spacing w:val="-6"/>
          <w:kern w:val="2"/>
          <w:sz w:val="32"/>
          <w:szCs w:val="32"/>
        </w:rPr>
        <w:t>,</w:t>
      </w:r>
      <w:r>
        <w:rPr>
          <w:rFonts w:hint="eastAsia" w:ascii="Times New Roman" w:hAnsi="Times New Roman" w:eastAsia="仿宋_GB2312" w:cs="Times New Roman"/>
          <w:color w:val="000000"/>
          <w:spacing w:val="-6"/>
          <w:kern w:val="2"/>
          <w:sz w:val="32"/>
          <w:szCs w:val="32"/>
        </w:rPr>
        <w:t>实施更大范围、更高层次的技术改造，推动产业向高端化、终端化、高效益发展，不断提高产品技术含量。</w:t>
      </w:r>
    </w:p>
    <w:p>
      <w:pPr>
        <w:pStyle w:val="16"/>
        <w:widowControl w:val="0"/>
        <w:spacing w:line="560" w:lineRule="exact"/>
        <w:ind w:firstLine="641"/>
        <w:rPr>
          <w:rFonts w:ascii="Times New Roman" w:hAnsi="Times New Roman" w:eastAsia="仿宋_GB2312" w:cs="Times New Roman"/>
          <w:color w:val="000000"/>
          <w:spacing w:val="-6"/>
          <w:kern w:val="2"/>
          <w:sz w:val="32"/>
          <w:szCs w:val="32"/>
        </w:rPr>
      </w:pPr>
      <w:r>
        <w:rPr>
          <w:rFonts w:hint="eastAsia" w:ascii="Times New Roman" w:hAnsi="Times New Roman" w:eastAsia="仿宋_GB2312" w:cs="Times New Roman"/>
          <w:color w:val="000000"/>
          <w:spacing w:val="-6"/>
          <w:kern w:val="2"/>
          <w:sz w:val="32"/>
          <w:szCs w:val="32"/>
        </w:rPr>
        <w:t>淘汰高污染、高耗能、高排放落后产能，抓好各类园区和企业循环化改造，推进节能减排技</w:t>
      </w:r>
      <w:r>
        <w:rPr>
          <w:rFonts w:hint="eastAsia" w:ascii="Times New Roman" w:hAnsi="Times New Roman" w:eastAsia="仿宋_GB2312" w:cs="Times New Roman"/>
          <w:color w:val="000000"/>
          <w:spacing w:val="-6"/>
          <w:sz w:val="32"/>
          <w:szCs w:val="32"/>
        </w:rPr>
        <w:t>术系统集成应用，加强再生资源回收、加工、利用，切实减少污染物排放。</w:t>
      </w:r>
      <w:r>
        <w:rPr>
          <w:rFonts w:hint="eastAsia" w:ascii="Times New Roman" w:hAnsi="Times New Roman" w:eastAsia="仿宋_GB2312" w:cs="Times New Roman"/>
          <w:color w:val="000000"/>
          <w:sz w:val="32"/>
          <w:szCs w:val="32"/>
        </w:rPr>
        <w:t>严格园区产业准入条件，加强环境保护监管，严格履行环保设施与主体工程同时设计、同时施工、同时投产使用制度，确保循环经济园区废水、废气和固体废弃物处理稳定</w:t>
      </w:r>
      <w:r>
        <w:rPr>
          <w:rFonts w:hint="eastAsia" w:ascii="Times New Roman" w:hAnsi="Times New Roman" w:eastAsia="仿宋_GB2312" w:cs="Times New Roman"/>
          <w:color w:val="000000"/>
          <w:spacing w:val="-6"/>
          <w:kern w:val="2"/>
          <w:sz w:val="32"/>
          <w:szCs w:val="32"/>
        </w:rPr>
        <w:t>达标。</w:t>
      </w:r>
    </w:p>
    <w:p>
      <w:pPr>
        <w:pStyle w:val="16"/>
        <w:widowControl w:val="0"/>
        <w:spacing w:line="560" w:lineRule="exact"/>
        <w:ind w:firstLine="641"/>
        <w:rPr>
          <w:rFonts w:ascii="Times New Roman" w:hAnsi="Times New Roman" w:eastAsia="仿宋_GB2312" w:cs="Times New Roman"/>
          <w:color w:val="000000"/>
          <w:sz w:val="32"/>
          <w:szCs w:val="32"/>
        </w:rPr>
      </w:pPr>
      <w:r>
        <w:rPr>
          <w:rFonts w:hint="eastAsia" w:ascii="Times New Roman" w:hAnsi="Times New Roman" w:eastAsia="仿宋_GB2312" w:cs="Times New Roman"/>
          <w:color w:val="000000"/>
          <w:spacing w:val="-6"/>
          <w:kern w:val="2"/>
          <w:sz w:val="32"/>
          <w:szCs w:val="32"/>
        </w:rPr>
        <w:t>依托洛南生态、区位、资源优势，积极承接环境友好型产业转移，实现经济结构调整和产业优化升级，推进先进工艺技术应用，构建文化旅游、生物医药、养老健康、现代材料、清洁能源、先进制造等</w:t>
      </w:r>
      <w:r>
        <w:rPr>
          <w:rFonts w:hint="eastAsia" w:ascii="Times New Roman" w:hAnsi="Times New Roman" w:eastAsia="仿宋_GB2312" w:cs="Times New Roman"/>
          <w:color w:val="000000"/>
          <w:sz w:val="32"/>
          <w:szCs w:val="32"/>
        </w:rPr>
        <w:t>循环经济产业链。</w:t>
      </w:r>
      <w:r>
        <w:rPr>
          <w:rFonts w:hint="eastAsia" w:ascii="Times New Roman" w:hAnsi="Times New Roman" w:eastAsia="仿宋_GB2312" w:cs="Times New Roman"/>
          <w:color w:val="000000"/>
          <w:spacing w:val="-6"/>
          <w:kern w:val="2"/>
          <w:sz w:val="32"/>
          <w:szCs w:val="32"/>
        </w:rPr>
        <w:t>培育壮大节能环保、清洁生产和清洁能源产业，推进回收循环利用等项目建设，打造尾矿治理综合利用全产业链，着力构建符合洛南实际的绿色循环发展体系。</w:t>
      </w:r>
    </w:p>
    <w:p>
      <w:pPr>
        <w:spacing w:line="560" w:lineRule="exact"/>
        <w:jc w:val="center"/>
        <w:rPr>
          <w:rFonts w:ascii="Times New Roman" w:hAnsi="Times New Roman" w:eastAsia="楷体_GB2312"/>
          <w:b/>
          <w:bCs/>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151" w:name="_Toc11646"/>
      <w:bookmarkStart w:id="152" w:name="_Toc17446"/>
      <w:bookmarkStart w:id="153" w:name="_Toc3014"/>
      <w:r>
        <w:rPr>
          <w:rFonts w:hint="eastAsia" w:ascii="Times New Roman" w:hAnsi="Times New Roman" w:eastAsia="楷体_GB2312"/>
          <w:b/>
          <w:bCs/>
          <w:color w:val="000000"/>
          <w:sz w:val="32"/>
          <w:szCs w:val="32"/>
        </w:rPr>
        <w:t>第二节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特色农业</w:t>
      </w:r>
      <w:bookmarkEnd w:id="151"/>
      <w:bookmarkEnd w:id="152"/>
      <w:bookmarkEnd w:id="153"/>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用好</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核桃之都</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秦岭药库</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等金字招牌，做优做特菌、果、药、畜等特色产业，建设一批食用菌、核桃、蚕桑优质生产基地，构建绿色食品产业集群，加快培育洛南核桃、洛南豆腐、洛南香菇、秦岭蜂蜜、锦绣苗木等农产品区域公共品牌，提升产品市场竞争力；加快建设特色现代农业园区和优质特色农产品直销中心、交易市场，构建与特色现代农业相匹配的生产体系、营销体系，打造特色农业产业增长极。</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顺应个性化、高端化消费新趋势，推进农业供给侧结构性改革，推进优势特色农业规模化、标准化、现代化、品牌化建设，推进特色农业发展由规模扩张型向效益提升型转变。强化依靠品牌、打造品牌、保护品牌、珍惜品牌意识，加快绿色食品、有机农产品、明特优新农产品、中药材的气候品质认证和地理标志认证，打造</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中国气候好产品</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。推广优质高山蔬菜基地建设，严格化肥、农药减量化使用，禁止在蔬菜、水果、粮食和中药材生产</w:t>
      </w:r>
      <w:r>
        <w:rPr>
          <w:rFonts w:hint="eastAsia" w:ascii="Times New Roman" w:hAnsi="Times New Roman" w:eastAsia="仿宋_GB2312"/>
          <w:color w:val="000000"/>
          <w:spacing w:val="-6"/>
          <w:sz w:val="32"/>
          <w:szCs w:val="32"/>
        </w:rPr>
        <w:t>中使用高毒、高残留农药。扩大优质农产品种植规模，增加地理标志产品认证数量。到</w:t>
      </w:r>
      <w:r>
        <w:rPr>
          <w:rFonts w:ascii="Times New Roman" w:hAnsi="Times New Roman" w:eastAsia="仿宋_GB2312"/>
          <w:color w:val="000000"/>
          <w:spacing w:val="-6"/>
          <w:sz w:val="32"/>
          <w:szCs w:val="32"/>
        </w:rPr>
        <w:t>2025</w:t>
      </w:r>
      <w:r>
        <w:rPr>
          <w:rFonts w:hint="eastAsia" w:ascii="Times New Roman" w:hAnsi="Times New Roman" w:eastAsia="仿宋_GB2312"/>
          <w:color w:val="000000"/>
          <w:spacing w:val="-6"/>
          <w:sz w:val="32"/>
          <w:szCs w:val="32"/>
        </w:rPr>
        <w:t>年，建立洛南核桃等标准体系及产品质量追溯体系，全县农产品地理标志登记保护产品达到</w:t>
      </w:r>
      <w:r>
        <w:rPr>
          <w:rFonts w:ascii="Times New Roman" w:hAnsi="Times New Roman" w:eastAsia="仿宋_GB2312"/>
          <w:color w:val="000000"/>
          <w:spacing w:val="-6"/>
          <w:sz w:val="32"/>
          <w:szCs w:val="32"/>
        </w:rPr>
        <w:t>5</w:t>
      </w:r>
      <w:r>
        <w:rPr>
          <w:rFonts w:hint="eastAsia" w:ascii="Times New Roman" w:hAnsi="Times New Roman" w:eastAsia="仿宋_GB2312"/>
          <w:color w:val="000000"/>
          <w:spacing w:val="-6"/>
          <w:sz w:val="32"/>
          <w:szCs w:val="32"/>
        </w:rPr>
        <w:t>个。</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促进农产品向优势产区集中，建成若干特色农产品产业带。加强</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菌果药畜</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的规模化种植养殖，推进标准化生产和精深加工。依托沿山路周边生态环境资源和基础设施优势，积极发展生态型休闲农业。利用秦岭优越的气候和植物资源条件，发展花卉种苗产业。</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推进中药材产业基地建设，发展丹参、连翘、五味子、黄芩、猪苓、天麻、山茱萸等道地药材</w:t>
      </w:r>
      <w:r>
        <w:rPr>
          <w:rFonts w:hint="eastAsia" w:ascii="Times New Roman" w:hAnsi="Times New Roman" w:eastAsia="仿宋"/>
          <w:color w:val="000000"/>
          <w:sz w:val="32"/>
          <w:szCs w:val="32"/>
        </w:rPr>
        <w:t>规范化</w:t>
      </w:r>
      <w:r>
        <w:rPr>
          <w:rFonts w:hint="eastAsia" w:ascii="Times New Roman" w:hAnsi="Times New Roman" w:eastAsia="仿宋_GB2312"/>
          <w:color w:val="000000"/>
          <w:sz w:val="32"/>
          <w:szCs w:val="32"/>
        </w:rPr>
        <w:t>种植，建立中药产业园区，完善中药材仓储、物流、交易体系，实现中药材产业提质增效和药农持续增收。</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持续推进融合发展。推进优势特色产业横向多方联合、纵向全产业链整</w:t>
      </w:r>
      <w:r>
        <w:rPr>
          <w:rFonts w:hint="eastAsia" w:ascii="Times New Roman" w:hAnsi="Times New Roman" w:eastAsia="仿宋_GB2312"/>
          <w:color w:val="000000"/>
          <w:spacing w:val="-6"/>
          <w:sz w:val="32"/>
          <w:szCs w:val="32"/>
        </w:rPr>
        <w:t>合、一二三次产业融合，发展种养加、赏品用、效益多重的生态循环农业。鼓励因地制宜，发展规模适度、个性鲜明的田园综合体、特色小镇、园区旅游。鼓励充分运用互联网、大数据，发展智慧农业，把土地和云端连起来，让农产品生长、生产、销售全流程可感可观可体验，提升产业链、价值链、创新链。大力发展村集体经济，强化新型经营主体培育，建设扶贫车间、培育就业扶贫基地促进多元化就业，持续巩固脱贫攻坚成果。</w:t>
      </w:r>
    </w:p>
    <w:p>
      <w:pPr>
        <w:spacing w:line="560" w:lineRule="exact"/>
        <w:jc w:val="center"/>
        <w:rPr>
          <w:rFonts w:ascii="Times New Roman" w:hAnsi="Times New Roman" w:eastAsia="楷体_GB2312"/>
          <w:b/>
          <w:bCs/>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154" w:name="_Toc21691"/>
      <w:bookmarkStart w:id="155" w:name="_Toc31920"/>
      <w:bookmarkStart w:id="156" w:name="_Toc3800"/>
      <w:r>
        <w:rPr>
          <w:rFonts w:hint="eastAsia" w:ascii="Times New Roman" w:hAnsi="Times New Roman" w:eastAsia="楷体_GB2312"/>
          <w:b/>
          <w:bCs/>
          <w:color w:val="000000"/>
          <w:sz w:val="32"/>
          <w:szCs w:val="32"/>
        </w:rPr>
        <w:t>第三节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大旅游产业</w:t>
      </w:r>
      <w:bookmarkEnd w:id="154"/>
      <w:bookmarkEnd w:id="155"/>
      <w:bookmarkEnd w:id="156"/>
    </w:p>
    <w:p>
      <w:pPr>
        <w:spacing w:line="560" w:lineRule="exact"/>
        <w:ind w:firstLine="640" w:firstLineChars="200"/>
        <w:rPr>
          <w:rFonts w:ascii="Times New Roman" w:hAnsi="Times New Roman" w:eastAsia="仿宋_GB2312"/>
          <w:color w:val="000000"/>
          <w:sz w:val="32"/>
          <w:szCs w:val="32"/>
          <w:shd w:val="clear" w:color="auto" w:fill="FFFFFF"/>
        </w:rPr>
      </w:pPr>
      <w:r>
        <w:rPr>
          <w:rFonts w:hint="eastAsia" w:ascii="仿宋_GB2312" w:hAnsi="Times New Roman" w:eastAsia="仿宋_GB2312"/>
          <w:color w:val="000000"/>
          <w:sz w:val="32"/>
          <w:szCs w:val="32"/>
        </w:rPr>
        <w:t>树立“全域旅游”理念，按照“一心三线”</w:t>
      </w:r>
      <w:r>
        <w:rPr>
          <w:rFonts w:ascii="仿宋_GB2312" w:hAnsi="Times New Roman" w:eastAsia="仿宋_GB2312"/>
          <w:color w:val="000000"/>
          <w:sz w:val="32"/>
          <w:szCs w:val="32"/>
        </w:rPr>
        <w:t>(</w:t>
      </w:r>
      <w:r>
        <w:rPr>
          <w:rFonts w:hint="eastAsia" w:ascii="仿宋_GB2312" w:hAnsi="Times New Roman" w:eastAsia="仿宋_GB2312"/>
          <w:color w:val="000000"/>
          <w:sz w:val="32"/>
          <w:szCs w:val="32"/>
        </w:rPr>
        <w:t>县域休闲文化中心、西部生态文化避暑观光精品线路、北部休闲养生乡村旅游精品线路、东部休闲农业体验观光精品线路）发展格局，构建以追寻汉字故里、体验河洛文化、</w:t>
      </w:r>
      <w:r>
        <w:rPr>
          <w:rFonts w:hint="eastAsia" w:ascii="Times New Roman" w:hAnsi="Times New Roman" w:eastAsia="仿宋_GB2312"/>
          <w:color w:val="000000"/>
          <w:sz w:val="32"/>
          <w:szCs w:val="32"/>
          <w:shd w:val="clear" w:color="auto" w:fill="FFFFFF"/>
        </w:rPr>
        <w:t>品味洛南美食、感受天然氧吧为特色的</w:t>
      </w:r>
      <w:r>
        <w:rPr>
          <w:rFonts w:hint="eastAsia" w:ascii="Times New Roman" w:hAnsi="Times New Roman" w:eastAsia="仿宋_GB2312"/>
          <w:color w:val="000000"/>
          <w:sz w:val="32"/>
          <w:szCs w:val="32"/>
        </w:rPr>
        <w:t>大旅游产业体系，打造</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吃、住、行、游、购、娱</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为一体的全旅游产业链，推进文化旅游深度融合，用旅游业改造提升美食产业、协同发展特色现代农业，</w:t>
      </w:r>
      <w:r>
        <w:rPr>
          <w:rFonts w:hint="eastAsia" w:ascii="Times New Roman" w:hAnsi="Times New Roman" w:eastAsia="仿宋_GB2312"/>
          <w:color w:val="000000"/>
          <w:spacing w:val="-6"/>
          <w:sz w:val="32"/>
          <w:szCs w:val="32"/>
        </w:rPr>
        <w:t>深化文化旅游产业</w:t>
      </w:r>
      <w:r>
        <w:rPr>
          <w:rFonts w:hint="eastAsia" w:ascii="Times New Roman" w:hAnsi="Times New Roman" w:eastAsia="仿宋_GB2312"/>
          <w:color w:val="000000"/>
          <w:sz w:val="32"/>
          <w:szCs w:val="32"/>
        </w:rPr>
        <w:t>与康养、农业、工业、体育、教育等多业融合发展</w:t>
      </w:r>
      <w:r>
        <w:rPr>
          <w:rFonts w:hint="eastAsia" w:ascii="Times New Roman" w:hAnsi="Times New Roman" w:eastAsia="仿宋_GB2312"/>
          <w:color w:val="000000"/>
          <w:spacing w:val="-6"/>
          <w:sz w:val="32"/>
          <w:szCs w:val="32"/>
        </w:rPr>
        <w:t>，</w:t>
      </w:r>
      <w:r>
        <w:rPr>
          <w:rFonts w:hint="eastAsia" w:ascii="Times New Roman" w:hAnsi="Times New Roman" w:eastAsia="仿宋_GB2312"/>
          <w:color w:val="000000"/>
          <w:sz w:val="32"/>
          <w:szCs w:val="32"/>
        </w:rPr>
        <w:t>倾力打造精美城市、精品景区、美丽乡村</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三大会客厅</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，建设</w:t>
      </w:r>
      <w:r>
        <w:rPr>
          <w:rFonts w:hint="eastAsia" w:ascii="Times New Roman" w:hAnsi="Times New Roman" w:eastAsia="仿宋_GB2312"/>
          <w:color w:val="000000"/>
          <w:sz w:val="32"/>
          <w:szCs w:val="32"/>
          <w:shd w:val="clear" w:color="auto" w:fill="FFFFFF"/>
        </w:rPr>
        <w:t>西安</w:t>
      </w:r>
      <w:r>
        <w:rPr>
          <w:rFonts w:ascii="Times New Roman" w:hAnsi="Times New Roman" w:eastAsia="仿宋_GB2312"/>
          <w:color w:val="000000"/>
          <w:sz w:val="32"/>
          <w:szCs w:val="32"/>
          <w:shd w:val="clear" w:color="auto" w:fill="FFFFFF"/>
        </w:rPr>
        <w:t>“</w:t>
      </w:r>
      <w:r>
        <w:rPr>
          <w:rFonts w:hint="eastAsia" w:ascii="Times New Roman" w:hAnsi="Times New Roman" w:eastAsia="仿宋_GB2312"/>
          <w:color w:val="000000"/>
          <w:sz w:val="32"/>
          <w:szCs w:val="32"/>
          <w:shd w:val="clear" w:color="auto" w:fill="FFFFFF"/>
        </w:rPr>
        <w:t>第二生活区</w:t>
      </w:r>
      <w:r>
        <w:rPr>
          <w:rFonts w:ascii="Times New Roman" w:hAnsi="Times New Roman" w:eastAsia="仿宋_GB2312"/>
          <w:color w:val="000000"/>
          <w:sz w:val="32"/>
          <w:szCs w:val="32"/>
          <w:shd w:val="clear" w:color="auto" w:fill="FFFFFF"/>
        </w:rPr>
        <w:t>”</w:t>
      </w:r>
      <w:r>
        <w:rPr>
          <w:rFonts w:hint="eastAsia" w:ascii="Times New Roman" w:hAnsi="Times New Roman" w:eastAsia="仿宋_GB2312"/>
          <w:color w:val="000000"/>
          <w:sz w:val="32"/>
          <w:szCs w:val="32"/>
          <w:shd w:val="clear" w:color="auto" w:fill="FFFFFF"/>
        </w:rPr>
        <w:t>。</w:t>
      </w:r>
      <w:r>
        <w:rPr>
          <w:rFonts w:ascii="Times New Roman" w:hAnsi="Times New Roman" w:eastAsia="仿宋_GB2312"/>
          <w:color w:val="000000"/>
          <w:sz w:val="32"/>
          <w:szCs w:val="32"/>
          <w:shd w:val="clear" w:color="auto" w:fill="FFFFFF"/>
        </w:rPr>
        <w:t xml:space="preserve">  </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坚持生态旅游理念，建立健全严格的绿色旅游标准和认证体系，推动形成绿色旅游消费方式，协同推动生态旅游高质量发展和生态环境高水平保护，到</w:t>
      </w:r>
      <w:r>
        <w:rPr>
          <w:rFonts w:ascii="Times New Roman" w:hAnsi="Times New Roman" w:eastAsia="仿宋_GB2312"/>
          <w:color w:val="000000"/>
          <w:sz w:val="32"/>
          <w:szCs w:val="32"/>
        </w:rPr>
        <w:t>2025</w:t>
      </w:r>
      <w:r>
        <w:rPr>
          <w:rFonts w:hint="eastAsia" w:ascii="Times New Roman" w:hAnsi="Times New Roman" w:eastAsia="仿宋_GB2312"/>
          <w:color w:val="000000"/>
          <w:sz w:val="32"/>
          <w:szCs w:val="32"/>
        </w:rPr>
        <w:t>年基本建成秦岭休闲养生之都、西部绿色发展示范区、秦岭最佳旅游目的地、国家园林城市。</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依托已有自然公园、森林康养基地、历史文化名镇名村等，加强高</w:t>
      </w:r>
      <w:r>
        <w:rPr>
          <w:rFonts w:ascii="Times New Roman" w:hAnsi="Times New Roman" w:eastAsia="仿宋_GB2312"/>
          <w:color w:val="000000"/>
          <w:sz w:val="32"/>
          <w:szCs w:val="32"/>
        </w:rPr>
        <w:t>A</w:t>
      </w:r>
      <w:r>
        <w:rPr>
          <w:rFonts w:hint="eastAsia" w:ascii="Times New Roman" w:hAnsi="Times New Roman" w:eastAsia="仿宋_GB2312"/>
          <w:color w:val="000000"/>
          <w:sz w:val="32"/>
          <w:szCs w:val="32"/>
        </w:rPr>
        <w:t>级景区和旅游基础设施与服务设施建设，加快实施</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互联网</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旅游</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行动计划，推进智慧旅游建设。到</w:t>
      </w:r>
      <w:r>
        <w:rPr>
          <w:rFonts w:ascii="Times New Roman" w:hAnsi="Times New Roman" w:eastAsia="仿宋_GB2312"/>
          <w:color w:val="000000"/>
          <w:sz w:val="32"/>
          <w:szCs w:val="32"/>
        </w:rPr>
        <w:t>2025</w:t>
      </w:r>
      <w:r>
        <w:rPr>
          <w:rFonts w:hint="eastAsia" w:ascii="Times New Roman" w:hAnsi="Times New Roman" w:eastAsia="仿宋_GB2312"/>
          <w:color w:val="000000"/>
          <w:sz w:val="32"/>
          <w:szCs w:val="32"/>
        </w:rPr>
        <w:t>年，力争新增国家</w:t>
      </w:r>
      <w:r>
        <w:rPr>
          <w:rFonts w:ascii="Times New Roman" w:hAnsi="Times New Roman" w:eastAsia="仿宋_GB2312"/>
          <w:color w:val="000000"/>
          <w:sz w:val="32"/>
          <w:szCs w:val="32"/>
        </w:rPr>
        <w:t>4A</w:t>
      </w:r>
      <w:r>
        <w:rPr>
          <w:rFonts w:hint="eastAsia" w:ascii="Times New Roman" w:hAnsi="Times New Roman" w:eastAsia="仿宋_GB2312"/>
          <w:color w:val="000000"/>
          <w:sz w:val="32"/>
          <w:szCs w:val="32"/>
        </w:rPr>
        <w:t>级景区</w:t>
      </w:r>
      <w:r>
        <w:rPr>
          <w:rFonts w:ascii="Times New Roman" w:hAnsi="Times New Roman" w:eastAsia="仿宋_GB2312"/>
          <w:color w:val="000000"/>
          <w:sz w:val="32"/>
          <w:szCs w:val="32"/>
        </w:rPr>
        <w:t>1</w:t>
      </w:r>
      <w:r>
        <w:rPr>
          <w:rFonts w:hint="eastAsia" w:ascii="Times New Roman" w:hAnsi="Times New Roman" w:eastAsia="仿宋_GB2312"/>
          <w:color w:val="000000"/>
          <w:sz w:val="32"/>
          <w:szCs w:val="32"/>
        </w:rPr>
        <w:t>家以上。严格依照规划建设旅游项目、开展生态旅游活动，制定实施旅游景区生态环境保护方案。</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以全</w:t>
      </w:r>
      <w:r>
        <w:rPr>
          <w:rFonts w:hint="eastAsia" w:ascii="Times New Roman" w:hAnsi="Times New Roman" w:eastAsia="仿宋_GB2312"/>
          <w:color w:val="000000"/>
          <w:spacing w:val="-6"/>
          <w:sz w:val="32"/>
          <w:szCs w:val="32"/>
        </w:rPr>
        <w:t>域旅游示范县创建为载体，探索名胜、名城、名镇、名村</w:t>
      </w:r>
      <w:r>
        <w:rPr>
          <w:rFonts w:ascii="Times New Roman" w:hAnsi="Times New Roman" w:eastAsia="仿宋_GB2312"/>
          <w:color w:val="000000"/>
          <w:spacing w:val="-6"/>
          <w:sz w:val="32"/>
          <w:szCs w:val="32"/>
        </w:rPr>
        <w:t>“</w:t>
      </w:r>
      <w:r>
        <w:rPr>
          <w:rFonts w:hint="eastAsia" w:ascii="Times New Roman" w:hAnsi="Times New Roman" w:eastAsia="仿宋_GB2312"/>
          <w:color w:val="000000"/>
          <w:spacing w:val="-6"/>
          <w:sz w:val="32"/>
          <w:szCs w:val="32"/>
        </w:rPr>
        <w:t>四名一体</w:t>
      </w:r>
      <w:r>
        <w:rPr>
          <w:rFonts w:ascii="Times New Roman" w:hAnsi="Times New Roman" w:eastAsia="仿宋_GB2312"/>
          <w:color w:val="000000"/>
          <w:spacing w:val="-6"/>
          <w:sz w:val="32"/>
          <w:szCs w:val="32"/>
        </w:rPr>
        <w:t>”</w:t>
      </w:r>
      <w:r>
        <w:rPr>
          <w:rFonts w:hint="eastAsia" w:ascii="Times New Roman" w:hAnsi="Times New Roman" w:eastAsia="仿宋_GB2312"/>
          <w:color w:val="000000"/>
          <w:spacing w:val="-6"/>
          <w:sz w:val="32"/>
          <w:szCs w:val="32"/>
        </w:rPr>
        <w:t>的全域旅游模式，</w:t>
      </w:r>
      <w:r>
        <w:rPr>
          <w:rFonts w:hint="eastAsia" w:ascii="Times New Roman" w:hAnsi="Times New Roman" w:eastAsia="仿宋"/>
          <w:color w:val="000000"/>
          <w:sz w:val="32"/>
          <w:szCs w:val="32"/>
        </w:rPr>
        <w:t>力争</w:t>
      </w:r>
      <w:r>
        <w:rPr>
          <w:rFonts w:ascii="Times New Roman" w:hAnsi="Times New Roman" w:eastAsia="仿宋"/>
          <w:color w:val="000000"/>
          <w:sz w:val="32"/>
          <w:szCs w:val="32"/>
        </w:rPr>
        <w:t>2021</w:t>
      </w:r>
      <w:r>
        <w:rPr>
          <w:rFonts w:hint="eastAsia" w:ascii="Times New Roman" w:hAnsi="Times New Roman" w:eastAsia="仿宋"/>
          <w:color w:val="000000"/>
          <w:sz w:val="32"/>
          <w:szCs w:val="32"/>
        </w:rPr>
        <w:t>年达到省级全域旅游示范县标准，力争</w:t>
      </w:r>
      <w:r>
        <w:rPr>
          <w:rFonts w:hint="eastAsia" w:ascii="Times New Roman" w:hAnsi="Times New Roman" w:eastAsia="仿宋_GB2312"/>
          <w:color w:val="000000"/>
          <w:spacing w:val="-6"/>
          <w:sz w:val="32"/>
          <w:szCs w:val="32"/>
        </w:rPr>
        <w:t>到</w:t>
      </w:r>
      <w:r>
        <w:rPr>
          <w:rFonts w:ascii="Times New Roman" w:hAnsi="Times New Roman" w:eastAsia="仿宋_GB2312"/>
          <w:color w:val="000000"/>
          <w:spacing w:val="-6"/>
          <w:sz w:val="32"/>
          <w:szCs w:val="32"/>
        </w:rPr>
        <w:t>2025</w:t>
      </w:r>
      <w:r>
        <w:rPr>
          <w:rFonts w:hint="eastAsia" w:ascii="Times New Roman" w:hAnsi="Times New Roman" w:eastAsia="仿宋_GB2312"/>
          <w:color w:val="000000"/>
          <w:spacing w:val="-6"/>
          <w:sz w:val="32"/>
          <w:szCs w:val="32"/>
        </w:rPr>
        <w:t>年创建为国家全域旅游示范县。推动旅游体制机制创新、文化旅游产业融合发展、旅游公共服务优化、发展成果共建共享，加快推进仓颉小镇等文旅融合示范景区建设，积极融入秦岭南麓、黄河文化旅游带等秦岭生态带，培育生态旅游风景道，重点建设绿化、标识、游憩、驿站等系统，促进生态环境串珠式组团保护。</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加</w:t>
      </w:r>
      <w:r>
        <w:rPr>
          <w:rFonts w:hint="eastAsia" w:ascii="Times New Roman" w:hAnsi="Times New Roman" w:eastAsia="仿宋_GB2312"/>
          <w:color w:val="000000"/>
          <w:spacing w:val="-6"/>
          <w:sz w:val="32"/>
          <w:szCs w:val="32"/>
        </w:rPr>
        <w:t>快发展乡村旅游，突出村庄的生态涵养功能，保护好林草、溪流、山丘等生态细胞，加大古镇、古驿站、古村落、古建筑保护，挖掘民间艺术、戏曲曲艺、手工技艺等非遗传承、农耕文明、农民魅力风采，依山造形，借丘造势，打造各具特色的现代版世外桃源。到</w:t>
      </w:r>
      <w:r>
        <w:rPr>
          <w:rFonts w:ascii="Times New Roman" w:hAnsi="Times New Roman" w:eastAsia="仿宋_GB2312"/>
          <w:color w:val="000000"/>
          <w:spacing w:val="-6"/>
          <w:sz w:val="32"/>
          <w:szCs w:val="32"/>
        </w:rPr>
        <w:t>2025</w:t>
      </w:r>
      <w:r>
        <w:rPr>
          <w:rFonts w:hint="eastAsia" w:ascii="Times New Roman" w:hAnsi="Times New Roman" w:eastAsia="仿宋_GB2312"/>
          <w:color w:val="000000"/>
          <w:spacing w:val="-6"/>
          <w:sz w:val="32"/>
          <w:szCs w:val="32"/>
        </w:rPr>
        <w:t>年，建设</w:t>
      </w:r>
      <w:r>
        <w:rPr>
          <w:rFonts w:ascii="Times New Roman" w:hAnsi="Times New Roman" w:eastAsia="仿宋_GB2312"/>
          <w:color w:val="000000"/>
          <w:spacing w:val="-6"/>
          <w:sz w:val="32"/>
          <w:szCs w:val="32"/>
        </w:rPr>
        <w:t>6</w:t>
      </w:r>
      <w:r>
        <w:rPr>
          <w:rFonts w:hint="eastAsia" w:ascii="Times New Roman" w:hAnsi="Times New Roman" w:eastAsia="仿宋_GB2312"/>
          <w:color w:val="000000"/>
          <w:spacing w:val="-6"/>
          <w:sz w:val="32"/>
          <w:szCs w:val="32"/>
        </w:rPr>
        <w:t>个省级乡村旅游示范村。</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依托丰富的红色旅游资源，加强红色旅游基础设施建设，开发一批精品红色旅游项目、红色教育基地，形成秦岭红色旅游精品产品体系。</w:t>
      </w:r>
    </w:p>
    <w:p>
      <w:pPr>
        <w:spacing w:line="560" w:lineRule="exact"/>
        <w:jc w:val="center"/>
        <w:outlineLvl w:val="1"/>
        <w:rPr>
          <w:rFonts w:ascii="Times New Roman" w:hAnsi="Times New Roman" w:eastAsia="楷体_GB2312"/>
          <w:b/>
          <w:bCs/>
          <w:color w:val="000000"/>
          <w:sz w:val="32"/>
          <w:szCs w:val="32"/>
        </w:rPr>
      </w:pPr>
      <w:bookmarkStart w:id="157" w:name="_Toc14161"/>
      <w:bookmarkStart w:id="158" w:name="_Toc9384"/>
      <w:bookmarkStart w:id="159" w:name="_Toc5933"/>
    </w:p>
    <w:p>
      <w:pPr>
        <w:spacing w:line="560" w:lineRule="exact"/>
        <w:jc w:val="center"/>
        <w:outlineLvl w:val="1"/>
        <w:rPr>
          <w:rFonts w:ascii="Times New Roman" w:hAnsi="Times New Roman" w:eastAsia="楷体_GB2312"/>
          <w:b/>
          <w:bCs/>
          <w:color w:val="000000"/>
          <w:sz w:val="32"/>
          <w:szCs w:val="32"/>
        </w:rPr>
      </w:pPr>
      <w:r>
        <w:rPr>
          <w:rFonts w:hint="eastAsia" w:ascii="Times New Roman" w:hAnsi="Times New Roman" w:eastAsia="楷体_GB2312"/>
          <w:b/>
          <w:bCs/>
          <w:color w:val="000000"/>
          <w:sz w:val="32"/>
          <w:szCs w:val="32"/>
        </w:rPr>
        <w:t>第四节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大健康产业</w:t>
      </w:r>
      <w:bookmarkEnd w:id="157"/>
      <w:bookmarkEnd w:id="158"/>
      <w:bookmarkEnd w:id="159"/>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kern w:val="0"/>
          <w:sz w:val="32"/>
          <w:szCs w:val="32"/>
        </w:rPr>
        <w:t>弘扬中国传统养生文化，加快发展休闲旅游地产，创新医疗服务机制，发展健康养老服务，</w:t>
      </w:r>
      <w:r>
        <w:rPr>
          <w:rFonts w:hint="eastAsia" w:ascii="Times New Roman" w:hAnsi="Times New Roman" w:eastAsia="仿宋_GB2312"/>
          <w:color w:val="000000"/>
          <w:sz w:val="32"/>
          <w:szCs w:val="32"/>
        </w:rPr>
        <w:t>推进医疗、康复、养老、养生产业融合发展，构建洛南健康产业体系，建设</w:t>
      </w:r>
      <w:r>
        <w:rPr>
          <w:rFonts w:ascii="Times New Roman" w:hAnsi="Times New Roman" w:eastAsia="仿宋_GB2312"/>
          <w:color w:val="000000"/>
          <w:sz w:val="32"/>
          <w:szCs w:val="32"/>
        </w:rPr>
        <w:t xml:space="preserve"> “</w:t>
      </w:r>
      <w:r>
        <w:rPr>
          <w:rFonts w:hint="eastAsia" w:ascii="Times New Roman" w:hAnsi="Times New Roman" w:eastAsia="仿宋_GB2312"/>
          <w:color w:val="000000"/>
          <w:sz w:val="32"/>
          <w:szCs w:val="32"/>
        </w:rPr>
        <w:t>中国秦岭健康城</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w:t>
      </w:r>
    </w:p>
    <w:p>
      <w:pPr>
        <w:spacing w:line="560" w:lineRule="exact"/>
        <w:ind w:firstLine="616" w:firstLineChars="200"/>
        <w:rPr>
          <w:rFonts w:ascii="Times New Roman" w:hAnsi="Times New Roman" w:eastAsia="仿宋_GB2312"/>
          <w:color w:val="000000"/>
          <w:sz w:val="32"/>
          <w:szCs w:val="32"/>
        </w:rPr>
      </w:pPr>
      <w:r>
        <w:rPr>
          <w:rFonts w:hint="eastAsia" w:ascii="Times New Roman" w:hAnsi="Times New Roman" w:eastAsia="仿宋_GB2312"/>
          <w:color w:val="000000"/>
          <w:spacing w:val="-6"/>
          <w:sz w:val="32"/>
          <w:szCs w:val="32"/>
        </w:rPr>
        <w:t>依托丰富和独特的生态资源，如气候、森林或地理标志产品等，加快发展</w:t>
      </w:r>
      <w:r>
        <w:rPr>
          <w:rFonts w:hint="eastAsia" w:ascii="Times New Roman" w:hAnsi="Times New Roman" w:eastAsia="仿宋_GB2312"/>
          <w:color w:val="000000"/>
          <w:sz w:val="32"/>
          <w:szCs w:val="32"/>
        </w:rPr>
        <w:t>生态与田园、</w:t>
      </w:r>
      <w:r>
        <w:rPr>
          <w:rFonts w:hint="eastAsia" w:ascii="Times New Roman" w:hAnsi="Times New Roman" w:eastAsia="仿宋_GB2312"/>
          <w:color w:val="000000"/>
          <w:spacing w:val="-6"/>
          <w:sz w:val="32"/>
          <w:szCs w:val="32"/>
        </w:rPr>
        <w:t>养老、养生、医疗、文化、体育、旅游</w:t>
      </w:r>
      <w:r>
        <w:rPr>
          <w:rFonts w:hint="eastAsia" w:ascii="Times New Roman" w:hAnsi="Times New Roman" w:eastAsia="仿宋_GB2312"/>
          <w:color w:val="000000"/>
          <w:sz w:val="32"/>
          <w:szCs w:val="32"/>
        </w:rPr>
        <w:t>、互联网</w:t>
      </w:r>
      <w:r>
        <w:rPr>
          <w:rFonts w:hint="eastAsia" w:ascii="Times New Roman" w:hAnsi="Times New Roman" w:eastAsia="仿宋_GB2312"/>
          <w:color w:val="000000"/>
          <w:spacing w:val="-6"/>
          <w:sz w:val="32"/>
          <w:szCs w:val="32"/>
        </w:rPr>
        <w:t>等</w:t>
      </w:r>
      <w:r>
        <w:rPr>
          <w:rFonts w:hint="eastAsia" w:ascii="Times New Roman" w:hAnsi="Times New Roman" w:eastAsia="仿宋_GB2312"/>
          <w:color w:val="000000"/>
          <w:sz w:val="32"/>
          <w:szCs w:val="32"/>
        </w:rPr>
        <w:t>产业深度融合</w:t>
      </w:r>
      <w:r>
        <w:rPr>
          <w:rFonts w:hint="eastAsia" w:ascii="Times New Roman" w:hAnsi="Times New Roman" w:eastAsia="仿宋_GB2312"/>
          <w:color w:val="000000"/>
          <w:spacing w:val="-6"/>
          <w:sz w:val="32"/>
          <w:szCs w:val="32"/>
        </w:rPr>
        <w:t>的康养产业，</w:t>
      </w:r>
      <w:r>
        <w:rPr>
          <w:rFonts w:hint="eastAsia" w:ascii="Times New Roman" w:hAnsi="Times New Roman" w:eastAsia="仿宋_GB2312"/>
          <w:color w:val="000000"/>
          <w:sz w:val="32"/>
          <w:szCs w:val="32"/>
        </w:rPr>
        <w:t>大力发展生态体验、生态科考、生态康养、度假养生、森林养生、高山避暑养生、田园养生等养生业态，倡导智慧旅游、低碳旅游，打造一批具有较高知名度的精品森林旅游地、精品森林旅游线路、森林特色小镇、全国森林体验和各地多个森林养生、田园养生、文旅养生试点基地。</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依托山地、峡谷、水体等地形地貌及资源，发展山地运动、水上运动、户外拓展、户外露营、户外体育运动、定向运动、养生运动、极限运动、传统体育运动、徒步旅行、探险等户外康体养生产品，推动体育、旅游、度假、健身、赛事等业态的深度融合发展。</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加快大</w:t>
      </w:r>
      <w:r>
        <w:rPr>
          <w:rFonts w:hint="eastAsia" w:ascii="Times New Roman" w:hAnsi="Times New Roman" w:eastAsia="仿宋_GB2312"/>
          <w:color w:val="000000"/>
          <w:spacing w:val="-6"/>
          <w:sz w:val="32"/>
          <w:szCs w:val="32"/>
        </w:rPr>
        <w:t>健康产业配套建设。坚持</w:t>
      </w:r>
      <w:r>
        <w:rPr>
          <w:rFonts w:ascii="Times New Roman" w:hAnsi="Times New Roman" w:eastAsia="仿宋_GB2312"/>
          <w:color w:val="000000"/>
          <w:spacing w:val="-6"/>
          <w:sz w:val="32"/>
          <w:szCs w:val="32"/>
        </w:rPr>
        <w:t>“</w:t>
      </w:r>
      <w:r>
        <w:rPr>
          <w:rFonts w:hint="eastAsia" w:ascii="Times New Roman" w:hAnsi="Times New Roman" w:eastAsia="仿宋_GB2312"/>
          <w:color w:val="000000"/>
          <w:spacing w:val="-6"/>
          <w:sz w:val="32"/>
          <w:szCs w:val="32"/>
        </w:rPr>
        <w:t>医、疗、养、食、游</w:t>
      </w:r>
      <w:r>
        <w:rPr>
          <w:rFonts w:ascii="Times New Roman" w:hAnsi="Times New Roman" w:eastAsia="仿宋_GB2312"/>
          <w:color w:val="000000"/>
          <w:spacing w:val="-6"/>
          <w:sz w:val="32"/>
          <w:szCs w:val="32"/>
        </w:rPr>
        <w:t>”</w:t>
      </w:r>
      <w:r>
        <w:rPr>
          <w:rFonts w:hint="eastAsia" w:ascii="Times New Roman" w:hAnsi="Times New Roman" w:eastAsia="仿宋_GB2312"/>
          <w:color w:val="000000"/>
          <w:spacing w:val="-6"/>
          <w:sz w:val="32"/>
          <w:szCs w:val="32"/>
        </w:rPr>
        <w:t>协同并进，围绕医药、医疗、器械、保健、康养服务为主体的健康产业全产业链，紧跟个性化、多样化康养消费需求，加快基础设施建设，加快溪乐谷康养项目灾后重建工作，重点打造城市步行街、健康养生峪、研学科考谷，全力打造模式多样、特色鲜明的健康养生观光旅游区、中医药健康旅游基地和特色康养小镇。</w:t>
      </w:r>
    </w:p>
    <w:p>
      <w:pPr>
        <w:spacing w:line="560" w:lineRule="exact"/>
        <w:jc w:val="center"/>
        <w:rPr>
          <w:rFonts w:ascii="Times New Roman" w:hAnsi="Times New Roman" w:eastAsia="楷体_GB2312"/>
          <w:b/>
          <w:bCs/>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160" w:name="_Toc29613"/>
      <w:bookmarkStart w:id="161" w:name="_Toc12600"/>
      <w:bookmarkStart w:id="162" w:name="_Toc8291"/>
      <w:r>
        <w:rPr>
          <w:rFonts w:hint="eastAsia" w:ascii="Times New Roman" w:hAnsi="Times New Roman" w:eastAsia="楷体_GB2312"/>
          <w:b/>
          <w:bCs/>
          <w:color w:val="000000"/>
          <w:sz w:val="32"/>
          <w:szCs w:val="32"/>
        </w:rPr>
        <w:t>第五节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新材料产业</w:t>
      </w:r>
      <w:bookmarkEnd w:id="160"/>
      <w:bookmarkEnd w:id="161"/>
      <w:bookmarkEnd w:id="162"/>
    </w:p>
    <w:p>
      <w:pPr>
        <w:spacing w:line="560" w:lineRule="exact"/>
        <w:ind w:firstLine="640" w:firstLineChars="200"/>
        <w:rPr>
          <w:rFonts w:ascii="仿宋_GB2312" w:hAnsi="Times New Roman" w:eastAsia="仿宋_GB2312"/>
          <w:color w:val="000000"/>
          <w:sz w:val="32"/>
          <w:szCs w:val="32"/>
        </w:rPr>
      </w:pPr>
      <w:r>
        <w:rPr>
          <w:rFonts w:hint="eastAsia" w:ascii="仿宋_GB2312" w:hAnsi="Times New Roman" w:eastAsia="仿宋_GB2312"/>
          <w:color w:val="000000"/>
          <w:sz w:val="32"/>
          <w:szCs w:val="32"/>
        </w:rPr>
        <w:t>做好规划，谋划设立空港经济区和高铁经济区（中央商务区），打造洛南产业新城。壮大卫东、樊湾、洛河工业集中区等三个省级重点园区，推动工业园区向“一区多园”拓展，构建工业多点支撑格局，加快宁洛产业园和卫东有色金属工业园项目建设步伐，形成县域经济主要增长极。</w:t>
      </w:r>
    </w:p>
    <w:p>
      <w:pPr>
        <w:spacing w:line="560" w:lineRule="exact"/>
        <w:ind w:firstLine="616" w:firstLineChars="200"/>
        <w:rPr>
          <w:rFonts w:ascii="Times New Roman" w:hAnsi="Times New Roman" w:eastAsia="仿宋_GB2312"/>
          <w:color w:val="000000"/>
          <w:spacing w:val="-6"/>
          <w:sz w:val="32"/>
          <w:szCs w:val="32"/>
        </w:rPr>
      </w:pPr>
      <w:r>
        <w:rPr>
          <w:rFonts w:hint="eastAsia" w:ascii="Times New Roman" w:hAnsi="Times New Roman" w:eastAsia="仿宋_GB2312"/>
          <w:color w:val="000000"/>
          <w:spacing w:val="-6"/>
          <w:sz w:val="32"/>
          <w:szCs w:val="32"/>
        </w:rPr>
        <w:t>以绿色矿业延链补链强链，打造钼、镁、铜、黄金、硅等新材料产业集群，推进以金属材料、非金属材料、新型建材、前沿材料、装备制造为代表的新材料产业向产业链、价值链高端迈进，打造新材料产业增长极。</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全面推进绿色制造，严格按照高水平的环保标准进行研发和生产，加快工业固体废弃物、冶炼废渣、粉煤灰、尾矿等关键技术研发，突出材料精深加工及应用拓展，加快推动金属、非金属粗加工等产业向</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绿色矿业</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新材料</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方向转型。</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强化产学研合作，深入推进产学研用协同发展，推动企业间的技术创新联盟、科技研发与成果转化基地建设，积极搭建新材料研发中心、新材料工程中心等研发服务平台，建立新材料企业与科研机构对接合作机制，加快金属材料和非金属材料创新应用研究。</w:t>
      </w:r>
    </w:p>
    <w:p>
      <w:pPr>
        <w:spacing w:line="560" w:lineRule="exact"/>
        <w:jc w:val="center"/>
        <w:rPr>
          <w:rFonts w:ascii="Times New Roman" w:hAnsi="Times New Roman" w:eastAsia="楷体_GB2312"/>
          <w:b/>
          <w:bCs/>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163" w:name="_Toc21253"/>
      <w:bookmarkStart w:id="164" w:name="_Toc30041"/>
      <w:bookmarkStart w:id="165" w:name="_Toc28400"/>
      <w:r>
        <w:rPr>
          <w:rFonts w:hint="eastAsia" w:ascii="Times New Roman" w:hAnsi="Times New Roman" w:eastAsia="楷体_GB2312"/>
          <w:b/>
          <w:bCs/>
          <w:color w:val="000000"/>
          <w:sz w:val="32"/>
          <w:szCs w:val="32"/>
        </w:rPr>
        <w:t>第六节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产业准入</w:t>
      </w:r>
      <w:bookmarkEnd w:id="163"/>
      <w:bookmarkEnd w:id="164"/>
      <w:bookmarkEnd w:id="165"/>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生产、生活和建设活动应当符合秦岭生态环境保护规划，依法采取相应生态环境保护措施，保证秦岭生态功能不降低。严格落实重点保护区、一般保护区产业准入清单制度。鼓励绿色循环、节能环保、有机农业、生态旅游、健康养老等产业发展，加大高耗能、高排放重点行业落后产能淘汰力度，禁止高污染、高环境风险等行业进入，推进建立以生态产业化和产业生态化为主体的生态经济体系。</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按照产业准入清单的要求，严格建设项目审批，落实生态环境保护责任，加强事中事后监管。动态监控产业清单制度落实情况，科学分析各类产业发展行为对秦岭生态系统变化造成的影响，及时完善产业准入清单制度。</w:t>
      </w:r>
    </w:p>
    <w:p>
      <w:pPr>
        <w:spacing w:line="560" w:lineRule="exact"/>
        <w:ind w:firstLine="640" w:firstLineChars="200"/>
        <w:rPr>
          <w:rFonts w:ascii="Times New Roman" w:hAnsi="Times New Roman" w:eastAsia="仿宋_GB2312"/>
          <w:color w:val="000000"/>
          <w:sz w:val="32"/>
          <w:szCs w:val="32"/>
        </w:rPr>
      </w:pPr>
    </w:p>
    <w:p>
      <w:pPr>
        <w:spacing w:line="560" w:lineRule="exact"/>
        <w:jc w:val="center"/>
        <w:outlineLvl w:val="0"/>
        <w:rPr>
          <w:rFonts w:ascii="Times New Roman" w:hAnsi="Times New Roman" w:eastAsia="黑体"/>
          <w:color w:val="000000"/>
          <w:sz w:val="32"/>
          <w:szCs w:val="32"/>
        </w:rPr>
      </w:pPr>
      <w:bookmarkStart w:id="166" w:name="_Toc22658"/>
      <w:bookmarkStart w:id="167" w:name="_Toc14102"/>
      <w:bookmarkStart w:id="168" w:name="_Toc15857"/>
      <w:r>
        <w:rPr>
          <w:rFonts w:hint="eastAsia" w:ascii="Times New Roman" w:hAnsi="Times New Roman" w:eastAsia="黑体"/>
          <w:color w:val="000000"/>
          <w:sz w:val="32"/>
          <w:szCs w:val="32"/>
        </w:rPr>
        <w:t>第十章</w:t>
      </w:r>
      <w:r>
        <w:rPr>
          <w:rFonts w:ascii="Times New Roman" w:hAnsi="Times New Roman" w:eastAsia="黑体"/>
          <w:color w:val="000000"/>
          <w:sz w:val="32"/>
          <w:szCs w:val="32"/>
        </w:rPr>
        <w:t xml:space="preserve">  </w:t>
      </w:r>
      <w:r>
        <w:rPr>
          <w:rFonts w:hint="eastAsia" w:ascii="Times New Roman" w:hAnsi="Times New Roman" w:eastAsia="黑体"/>
          <w:color w:val="000000"/>
          <w:sz w:val="32"/>
          <w:szCs w:val="32"/>
        </w:rPr>
        <w:t>建设美丽幸福新洛南</w:t>
      </w:r>
      <w:bookmarkEnd w:id="166"/>
      <w:bookmarkEnd w:id="167"/>
      <w:bookmarkEnd w:id="168"/>
    </w:p>
    <w:p>
      <w:pPr>
        <w:spacing w:line="560" w:lineRule="exact"/>
        <w:ind w:firstLine="640" w:firstLineChars="200"/>
        <w:rPr>
          <w:rFonts w:ascii="Times New Roman" w:hAnsi="Times New Roman" w:eastAsia="仿宋_GB2312"/>
          <w:color w:val="000000"/>
          <w:sz w:val="32"/>
          <w:szCs w:val="32"/>
        </w:rPr>
      </w:pP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以全面建成小康社会、完成决战决胜脱贫攻坚和坚决打赢污染防治攻坚战为</w:t>
      </w:r>
      <w:r>
        <w:rPr>
          <w:rFonts w:hint="eastAsia" w:ascii="Times New Roman" w:hAnsi="Times New Roman" w:eastAsia="仿宋_GB2312"/>
          <w:color w:val="000000"/>
          <w:spacing w:val="-8"/>
          <w:sz w:val="32"/>
          <w:szCs w:val="32"/>
        </w:rPr>
        <w:t>目标，加快推进乡村振兴等工程，努力打通</w:t>
      </w:r>
      <w:r>
        <w:rPr>
          <w:rFonts w:ascii="Times New Roman" w:hAnsi="Times New Roman" w:eastAsia="仿宋_GB2312"/>
          <w:color w:val="000000"/>
          <w:spacing w:val="-8"/>
          <w:sz w:val="32"/>
          <w:szCs w:val="32"/>
        </w:rPr>
        <w:t>“</w:t>
      </w:r>
      <w:r>
        <w:rPr>
          <w:rFonts w:hint="eastAsia" w:ascii="Times New Roman" w:hAnsi="Times New Roman" w:eastAsia="仿宋_GB2312"/>
          <w:color w:val="000000"/>
          <w:spacing w:val="-8"/>
          <w:sz w:val="32"/>
          <w:szCs w:val="32"/>
        </w:rPr>
        <w:t>绿水青山</w:t>
      </w:r>
      <w:r>
        <w:rPr>
          <w:rFonts w:ascii="Times New Roman" w:hAnsi="Times New Roman" w:eastAsia="仿宋_GB2312"/>
          <w:color w:val="000000"/>
          <w:spacing w:val="-8"/>
          <w:sz w:val="32"/>
          <w:szCs w:val="32"/>
        </w:rPr>
        <w:t>”</w:t>
      </w:r>
      <w:r>
        <w:rPr>
          <w:rFonts w:hint="eastAsia" w:ascii="Times New Roman" w:hAnsi="Times New Roman" w:eastAsia="仿宋_GB2312"/>
          <w:color w:val="000000"/>
          <w:spacing w:val="-8"/>
          <w:sz w:val="32"/>
          <w:szCs w:val="32"/>
        </w:rPr>
        <w:t>与</w:t>
      </w:r>
      <w:r>
        <w:rPr>
          <w:rFonts w:ascii="Times New Roman" w:hAnsi="Times New Roman" w:eastAsia="仿宋_GB2312"/>
          <w:color w:val="000000"/>
          <w:spacing w:val="-8"/>
          <w:sz w:val="32"/>
          <w:szCs w:val="32"/>
        </w:rPr>
        <w:t>“</w:t>
      </w:r>
      <w:r>
        <w:rPr>
          <w:rFonts w:hint="eastAsia" w:ascii="Times New Roman" w:hAnsi="Times New Roman" w:eastAsia="仿宋_GB2312"/>
          <w:color w:val="000000"/>
          <w:spacing w:val="-8"/>
          <w:sz w:val="32"/>
          <w:szCs w:val="32"/>
        </w:rPr>
        <w:t>金山银山</w:t>
      </w:r>
      <w:r>
        <w:rPr>
          <w:rFonts w:ascii="Times New Roman" w:hAnsi="Times New Roman" w:eastAsia="仿宋_GB2312"/>
          <w:color w:val="000000"/>
          <w:spacing w:val="-8"/>
          <w:sz w:val="32"/>
          <w:szCs w:val="32"/>
        </w:rPr>
        <w:t>”</w:t>
      </w:r>
      <w:r>
        <w:rPr>
          <w:rFonts w:hint="eastAsia" w:ascii="Times New Roman" w:hAnsi="Times New Roman" w:eastAsia="仿宋_GB2312"/>
          <w:color w:val="000000"/>
          <w:spacing w:val="-8"/>
          <w:sz w:val="32"/>
          <w:szCs w:val="32"/>
        </w:rPr>
        <w:t>的双向通道，将生态优势转化为发展优势、经济优势，把绿水青山建得更美，把金山银山做得更大，加快建设美丽幸福洛南，不断</w:t>
      </w:r>
      <w:r>
        <w:rPr>
          <w:rFonts w:hint="eastAsia" w:ascii="Times New Roman" w:hAnsi="Times New Roman" w:eastAsia="仿宋_GB2312"/>
          <w:color w:val="000000"/>
          <w:sz w:val="32"/>
          <w:szCs w:val="32"/>
        </w:rPr>
        <w:t>满足人民群众日益增长的优美生态环境需要。</w:t>
      </w:r>
    </w:p>
    <w:p>
      <w:pPr>
        <w:spacing w:line="560" w:lineRule="exact"/>
        <w:ind w:firstLine="640" w:firstLineChars="200"/>
        <w:rPr>
          <w:rFonts w:ascii="Times New Roman" w:hAnsi="Times New Roman" w:eastAsia="仿宋_GB2312"/>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169" w:name="_Toc4105"/>
      <w:bookmarkStart w:id="170" w:name="_Toc28139"/>
      <w:bookmarkStart w:id="171" w:name="_Toc5968"/>
      <w:r>
        <w:rPr>
          <w:rFonts w:hint="eastAsia" w:ascii="Times New Roman" w:hAnsi="Times New Roman" w:eastAsia="楷体_GB2312"/>
          <w:b/>
          <w:bCs/>
          <w:color w:val="000000"/>
          <w:sz w:val="32"/>
          <w:szCs w:val="32"/>
        </w:rPr>
        <w:t>第一节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巩固脱贫攻坚成果</w:t>
      </w:r>
      <w:bookmarkEnd w:id="169"/>
      <w:bookmarkEnd w:id="170"/>
      <w:bookmarkEnd w:id="171"/>
    </w:p>
    <w:p>
      <w:pPr>
        <w:pStyle w:val="16"/>
        <w:widowControl w:val="0"/>
        <w:spacing w:line="560" w:lineRule="exact"/>
        <w:ind w:firstLine="640"/>
        <w:rPr>
          <w:rFonts w:ascii="仿宋_GB2312" w:hAnsi="Times New Roman" w:eastAsia="仿宋_GB2312" w:cs="Times New Roman"/>
          <w:color w:val="000000"/>
          <w:sz w:val="32"/>
          <w:szCs w:val="32"/>
        </w:rPr>
      </w:pPr>
      <w:r>
        <w:rPr>
          <w:rFonts w:hint="eastAsia" w:ascii="仿宋_GB2312" w:hAnsi="Times New Roman" w:eastAsia="仿宋_GB2312" w:cs="Times New Roman"/>
          <w:color w:val="000000"/>
          <w:sz w:val="32"/>
          <w:szCs w:val="32"/>
          <w:shd w:val="clear" w:color="auto" w:fill="FFFFFF"/>
        </w:rPr>
        <w:t>巩固好脱贫成果，落实“四个不摘”要求，保持现有帮扶政策总体稳定，健全防止返贫动态监测和精准帮扶机制，推动特色产业发展壮大，做好易地扶贫搬迁后续帮扶工作。健全农村社会保障和救助制度，保障好农村低收入人口基本生活。</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因地制宜发展菌、果、药、畜等特色产业，延伸产业链条，提高抗风险能力，将更多脱贫户嵌入产业发展链条，建立更加稳定的利益联结机制。加强易地搬迁后续扶持，高质量建设扶贫园区、社区工厂，确保搬迁群众搬得出、稳得住、逐步能致富，实现乐业安居。推广</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山上兴产业、山下建社区、社区办工厂</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发展模式，壮大村集体经济，建设扶贫车间、培育就业扶贫基地，加大就业技能和实用技术培训，促进多元化创业就业。积极发展电商经济，加大产销对接，激活消费扶贫潜力。统筹落实社会兜底保障。</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持续加大农村安全饮水工程、农村电网升级改造投入力度，持续提高光纤网络和移动网络覆盖率。扎实推进易地扶贫搬迁后续扶持，做好移民安置点基础设施、公共服务、产业配套和社区治理等工作，促进群众融入社区生活。探索实施宜居搬迁工程，深入实施新以工代赈工程。</w:t>
      </w:r>
    </w:p>
    <w:p>
      <w:pPr>
        <w:spacing w:line="560" w:lineRule="exact"/>
        <w:ind w:firstLine="640" w:firstLineChars="200"/>
        <w:rPr>
          <w:rFonts w:ascii="Times New Roman" w:hAnsi="Times New Roman" w:eastAsia="仿宋_GB2312"/>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172" w:name="_Toc32069"/>
      <w:bookmarkStart w:id="173" w:name="_Toc4972"/>
      <w:bookmarkStart w:id="174" w:name="_Toc24619"/>
      <w:r>
        <w:rPr>
          <w:rFonts w:hint="eastAsia" w:ascii="Times New Roman" w:hAnsi="Times New Roman" w:eastAsia="楷体_GB2312"/>
          <w:b/>
          <w:bCs/>
          <w:color w:val="000000"/>
          <w:sz w:val="32"/>
          <w:szCs w:val="32"/>
        </w:rPr>
        <w:t>第二节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实施乡村振兴战略</w:t>
      </w:r>
      <w:bookmarkEnd w:id="172"/>
      <w:bookmarkEnd w:id="173"/>
      <w:bookmarkEnd w:id="174"/>
    </w:p>
    <w:p>
      <w:pPr>
        <w:pStyle w:val="16"/>
        <w:widowControl w:val="0"/>
        <w:spacing w:line="560" w:lineRule="exact"/>
        <w:ind w:firstLine="640"/>
        <w:rPr>
          <w:rFonts w:ascii="Times New Roman" w:hAnsi="Times New Roman" w:eastAsia="仿宋_GB2312" w:cs="Times New Roman"/>
          <w:color w:val="000000"/>
          <w:sz w:val="32"/>
          <w:szCs w:val="32"/>
        </w:rPr>
      </w:pPr>
      <w:r>
        <w:rPr>
          <w:rFonts w:hint="eastAsia" w:ascii="仿宋_GB2312" w:hAnsi="Times New Roman" w:eastAsia="仿宋_GB2312" w:cs="Times New Roman"/>
          <w:color w:val="000000"/>
          <w:sz w:val="32"/>
          <w:szCs w:val="32"/>
          <w:shd w:val="clear" w:color="auto" w:fill="FFFFFF"/>
        </w:rPr>
        <w:t>深入贯彻党的十九届三中、四中、五中全会精神和习近平总书记重要指示批示精神，按照党中央、国务院决策部署，在确保如期全面高质量打赢脱贫攻坚战的基础上，抓紧谋划好巩固拓展脱贫攻坚成果同乡村振兴有效衔接，接续推进脱贫地区发展和群众生活改善。</w:t>
      </w:r>
      <w:r>
        <w:rPr>
          <w:rFonts w:hint="eastAsia" w:ascii="Times New Roman" w:hAnsi="Times New Roman" w:eastAsia="仿宋_GB2312" w:cs="Times New Roman"/>
          <w:color w:val="000000"/>
          <w:sz w:val="32"/>
          <w:szCs w:val="32"/>
        </w:rPr>
        <w:t>按照</w:t>
      </w:r>
      <w:r>
        <w:rPr>
          <w:rFonts w:ascii="Times New Roman" w:hAnsi="Times New Roman" w:eastAsia="仿宋_GB2312" w:cs="Times New Roman"/>
          <w:color w:val="000000"/>
          <w:sz w:val="32"/>
          <w:szCs w:val="32"/>
        </w:rPr>
        <w:t>“</w:t>
      </w:r>
      <w:r>
        <w:rPr>
          <w:rFonts w:hint="eastAsia" w:ascii="Times New Roman" w:hAnsi="Times New Roman" w:eastAsia="仿宋_GB2312" w:cs="Times New Roman"/>
          <w:color w:val="000000"/>
          <w:sz w:val="32"/>
          <w:szCs w:val="32"/>
        </w:rPr>
        <w:t>产业兴旺、生态宜居、乡风文明、治理有效、生活富裕</w:t>
      </w:r>
      <w:r>
        <w:rPr>
          <w:rFonts w:ascii="Times New Roman" w:hAnsi="Times New Roman" w:eastAsia="仿宋_GB2312" w:cs="Times New Roman"/>
          <w:color w:val="000000"/>
          <w:sz w:val="32"/>
          <w:szCs w:val="32"/>
        </w:rPr>
        <w:t>”</w:t>
      </w:r>
      <w:r>
        <w:rPr>
          <w:rFonts w:hint="eastAsia" w:ascii="Times New Roman" w:hAnsi="Times New Roman" w:eastAsia="仿宋_GB2312" w:cs="Times New Roman"/>
          <w:color w:val="000000"/>
          <w:sz w:val="32"/>
          <w:szCs w:val="32"/>
        </w:rPr>
        <w:t>的总要求，建立健全城乡融合发展体制机制和政策体系，加快推进乡村振兴战略落地落实。</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产业兴旺。因地制宜发展核桃、食用菌等区域特色产业，支持</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洛南核桃</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洛南豆腐</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高山蔬菜</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等区域知名品牌建设，推进</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互联网</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农产品</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销售体系建设，促进电子商务加快发展。支持龙头企业、专业合作社、家庭农场等新型经营主体与农户建立紧密的利益联结关系。</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生态宜居。开展乡村绿化美化行动，以保护、提质、增绿等为重点，建设绿色生态村庄。充分利用闲置土地，积极选用本地乡土树种，组织开展植树造林、湿地恢复等活动，努力实现庭院、沟渠、通道全面增绿。到</w:t>
      </w:r>
      <w:r>
        <w:rPr>
          <w:rFonts w:ascii="Times New Roman" w:hAnsi="Times New Roman" w:eastAsia="仿宋_GB2312"/>
          <w:color w:val="000000"/>
          <w:sz w:val="32"/>
          <w:szCs w:val="32"/>
        </w:rPr>
        <w:t>2025</w:t>
      </w:r>
      <w:r>
        <w:rPr>
          <w:rFonts w:hint="eastAsia" w:ascii="Times New Roman" w:hAnsi="Times New Roman" w:eastAsia="仿宋_GB2312"/>
          <w:color w:val="000000"/>
          <w:sz w:val="32"/>
          <w:szCs w:val="32"/>
        </w:rPr>
        <w:t>年，建设</w:t>
      </w:r>
      <w:r>
        <w:rPr>
          <w:rFonts w:ascii="Times New Roman" w:hAnsi="Times New Roman" w:eastAsia="仿宋_GB2312"/>
          <w:color w:val="000000"/>
          <w:sz w:val="32"/>
          <w:szCs w:val="32"/>
        </w:rPr>
        <w:t>10</w:t>
      </w:r>
      <w:r>
        <w:rPr>
          <w:rFonts w:hint="eastAsia" w:ascii="Times New Roman" w:hAnsi="Times New Roman" w:eastAsia="仿宋_GB2312"/>
          <w:color w:val="000000"/>
          <w:sz w:val="32"/>
          <w:szCs w:val="32"/>
        </w:rPr>
        <w:t>个</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三化一片林</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绿色家园，创建省级美丽宜居示范村</w:t>
      </w:r>
      <w:r>
        <w:rPr>
          <w:rFonts w:ascii="Times New Roman" w:hAnsi="Times New Roman" w:eastAsia="仿宋_GB2312"/>
          <w:color w:val="000000"/>
          <w:sz w:val="32"/>
          <w:szCs w:val="32"/>
        </w:rPr>
        <w:t>7</w:t>
      </w:r>
      <w:r>
        <w:rPr>
          <w:rFonts w:hint="eastAsia" w:ascii="Times New Roman" w:hAnsi="Times New Roman" w:eastAsia="仿宋_GB2312"/>
          <w:color w:val="000000"/>
          <w:sz w:val="32"/>
          <w:szCs w:val="32"/>
        </w:rPr>
        <w:t>个，建设</w:t>
      </w:r>
      <w:r>
        <w:rPr>
          <w:rFonts w:ascii="Times New Roman" w:hAnsi="Times New Roman" w:eastAsia="仿宋_GB2312"/>
          <w:color w:val="000000"/>
          <w:sz w:val="32"/>
          <w:szCs w:val="32"/>
        </w:rPr>
        <w:t>4</w:t>
      </w:r>
      <w:r>
        <w:rPr>
          <w:rFonts w:hint="eastAsia" w:ascii="Times New Roman" w:hAnsi="Times New Roman" w:eastAsia="仿宋_GB2312"/>
          <w:color w:val="000000"/>
          <w:sz w:val="32"/>
          <w:szCs w:val="32"/>
        </w:rPr>
        <w:t>个市级美丽乡村田园综合体示范点，全县农村人居环境质量较大提升，村庄绿化覆盖率达到</w:t>
      </w:r>
      <w:r>
        <w:rPr>
          <w:rFonts w:ascii="Times New Roman" w:hAnsi="Times New Roman" w:eastAsia="仿宋_GB2312"/>
          <w:color w:val="000000"/>
          <w:sz w:val="32"/>
          <w:szCs w:val="32"/>
        </w:rPr>
        <w:t>45%</w:t>
      </w:r>
      <w:r>
        <w:rPr>
          <w:rFonts w:hint="eastAsia" w:ascii="Times New Roman" w:hAnsi="Times New Roman" w:eastAsia="仿宋_GB2312"/>
          <w:color w:val="000000"/>
          <w:sz w:val="32"/>
          <w:szCs w:val="32"/>
        </w:rPr>
        <w:t>以上，建成一批色彩统一、风貌协调的美丽乡村。</w:t>
      </w:r>
    </w:p>
    <w:p>
      <w:pPr>
        <w:spacing w:line="560" w:lineRule="exact"/>
        <w:ind w:firstLine="640" w:firstLineChars="200"/>
        <w:rPr>
          <w:rFonts w:ascii="Times New Roman" w:hAnsi="Times New Roman" w:eastAsia="仿宋_GB2312"/>
          <w:color w:val="000000"/>
          <w:spacing w:val="-6"/>
          <w:sz w:val="32"/>
          <w:szCs w:val="32"/>
        </w:rPr>
      </w:pPr>
      <w:r>
        <w:rPr>
          <w:rFonts w:hint="eastAsia" w:ascii="Times New Roman" w:hAnsi="Times New Roman" w:eastAsia="仿宋_GB2312"/>
          <w:color w:val="000000"/>
          <w:sz w:val="32"/>
          <w:szCs w:val="32"/>
        </w:rPr>
        <w:t>乡风文明。充分保护乡村原始生态文化、古建筑群等历史遗迹，积极引导好、</w:t>
      </w:r>
      <w:r>
        <w:rPr>
          <w:rFonts w:hint="eastAsia" w:ascii="Times New Roman" w:hAnsi="Times New Roman" w:eastAsia="仿宋_GB2312"/>
          <w:color w:val="000000"/>
          <w:spacing w:val="-6"/>
          <w:sz w:val="32"/>
          <w:szCs w:val="32"/>
        </w:rPr>
        <w:t>发展好、展示好乡村传统文化。大力实施</w:t>
      </w:r>
      <w:r>
        <w:rPr>
          <w:rFonts w:ascii="Times New Roman" w:hAnsi="Times New Roman" w:eastAsia="仿宋_GB2312"/>
          <w:color w:val="000000"/>
          <w:spacing w:val="-6"/>
          <w:sz w:val="32"/>
          <w:szCs w:val="32"/>
        </w:rPr>
        <w:t>“</w:t>
      </w:r>
      <w:r>
        <w:rPr>
          <w:rFonts w:hint="eastAsia" w:ascii="Times New Roman" w:hAnsi="Times New Roman" w:eastAsia="仿宋_GB2312"/>
          <w:color w:val="000000"/>
          <w:spacing w:val="-6"/>
          <w:sz w:val="32"/>
          <w:szCs w:val="32"/>
        </w:rPr>
        <w:t>立德、尚德、遵德、载德、润德、弘德</w:t>
      </w:r>
      <w:r>
        <w:rPr>
          <w:rFonts w:ascii="Times New Roman" w:hAnsi="Times New Roman" w:eastAsia="仿宋_GB2312"/>
          <w:color w:val="000000"/>
          <w:spacing w:val="-6"/>
          <w:sz w:val="32"/>
          <w:szCs w:val="32"/>
        </w:rPr>
        <w:t>”</w:t>
      </w:r>
      <w:r>
        <w:rPr>
          <w:rFonts w:hint="eastAsia" w:ascii="Times New Roman" w:hAnsi="Times New Roman" w:eastAsia="仿宋_GB2312"/>
          <w:color w:val="000000"/>
          <w:spacing w:val="-6"/>
          <w:sz w:val="32"/>
          <w:szCs w:val="32"/>
        </w:rPr>
        <w:t>六德工程，消除陈规陋习，制定和完善村规民约，引导农村社会风气良好发展，创建一批文明村和文明镇，到</w:t>
      </w:r>
      <w:r>
        <w:rPr>
          <w:rFonts w:ascii="Times New Roman" w:hAnsi="Times New Roman" w:eastAsia="仿宋_GB2312"/>
          <w:color w:val="000000"/>
          <w:spacing w:val="-6"/>
          <w:sz w:val="32"/>
          <w:szCs w:val="32"/>
        </w:rPr>
        <w:t>2025</w:t>
      </w:r>
      <w:r>
        <w:rPr>
          <w:rFonts w:hint="eastAsia" w:ascii="Times New Roman" w:hAnsi="Times New Roman" w:eastAsia="仿宋_GB2312"/>
          <w:color w:val="000000"/>
          <w:spacing w:val="-6"/>
          <w:sz w:val="32"/>
          <w:szCs w:val="32"/>
        </w:rPr>
        <w:t>年，县级及以上文明村、镇占比分别达到</w:t>
      </w:r>
      <w:r>
        <w:rPr>
          <w:rFonts w:ascii="Times New Roman" w:hAnsi="Times New Roman" w:eastAsia="仿宋_GB2312"/>
          <w:color w:val="000000"/>
          <w:spacing w:val="-6"/>
          <w:sz w:val="32"/>
          <w:szCs w:val="32"/>
        </w:rPr>
        <w:t>60%</w:t>
      </w:r>
      <w:r>
        <w:rPr>
          <w:rFonts w:hint="eastAsia" w:ascii="Times New Roman" w:hAnsi="Times New Roman" w:eastAsia="仿宋_GB2312"/>
          <w:color w:val="000000"/>
          <w:spacing w:val="-6"/>
          <w:sz w:val="32"/>
          <w:szCs w:val="32"/>
        </w:rPr>
        <w:t>和</w:t>
      </w:r>
      <w:r>
        <w:rPr>
          <w:rFonts w:ascii="Times New Roman" w:hAnsi="Times New Roman" w:eastAsia="仿宋_GB2312"/>
          <w:color w:val="000000"/>
          <w:spacing w:val="-6"/>
          <w:sz w:val="32"/>
          <w:szCs w:val="32"/>
        </w:rPr>
        <w:t>90%</w:t>
      </w:r>
      <w:r>
        <w:rPr>
          <w:rFonts w:hint="eastAsia" w:ascii="Times New Roman" w:hAnsi="Times New Roman" w:eastAsia="仿宋_GB2312"/>
          <w:color w:val="000000"/>
          <w:spacing w:val="-6"/>
          <w:sz w:val="32"/>
          <w:szCs w:val="32"/>
        </w:rPr>
        <w:t>以上。加强历史文化名镇名村和传统村落保护，保护好绿水青山和清新清净的田园风光，保留乡村特色风貌。</w:t>
      </w:r>
    </w:p>
    <w:p>
      <w:pPr>
        <w:spacing w:line="560" w:lineRule="exact"/>
        <w:ind w:firstLine="640" w:firstLineChars="200"/>
        <w:rPr>
          <w:rFonts w:ascii="Times New Roman" w:hAnsi="Times New Roman" w:eastAsia="仿宋_GB2312"/>
          <w:color w:val="000000"/>
          <w:spacing w:val="-8"/>
          <w:sz w:val="32"/>
          <w:szCs w:val="32"/>
        </w:rPr>
      </w:pPr>
      <w:r>
        <w:rPr>
          <w:rFonts w:hint="eastAsia" w:ascii="Times New Roman" w:hAnsi="Times New Roman" w:eastAsia="仿宋_GB2312"/>
          <w:color w:val="000000"/>
          <w:sz w:val="32"/>
          <w:szCs w:val="32"/>
        </w:rPr>
        <w:t>治理有效</w:t>
      </w:r>
      <w:r>
        <w:rPr>
          <w:rFonts w:hint="eastAsia" w:ascii="Times New Roman" w:hAnsi="Times New Roman" w:eastAsia="仿宋_GB2312"/>
          <w:color w:val="000000"/>
          <w:spacing w:val="-8"/>
          <w:sz w:val="32"/>
          <w:szCs w:val="32"/>
        </w:rPr>
        <w:t>。调动广大农村居民参与乡村治理的积极性、创造性，优化管理体系和方式，推进乡村振兴各项决策部署民主化，构建自治、法治、德治</w:t>
      </w:r>
      <w:r>
        <w:rPr>
          <w:rFonts w:ascii="Times New Roman" w:hAnsi="Times New Roman" w:eastAsia="仿宋_GB2312"/>
          <w:color w:val="000000"/>
          <w:spacing w:val="-8"/>
          <w:sz w:val="32"/>
          <w:szCs w:val="32"/>
        </w:rPr>
        <w:t>“</w:t>
      </w:r>
      <w:r>
        <w:rPr>
          <w:rFonts w:hint="eastAsia" w:ascii="Times New Roman" w:hAnsi="Times New Roman" w:eastAsia="仿宋_GB2312"/>
          <w:color w:val="000000"/>
          <w:spacing w:val="-8"/>
          <w:sz w:val="32"/>
          <w:szCs w:val="32"/>
        </w:rPr>
        <w:t>三治结合</w:t>
      </w:r>
      <w:r>
        <w:rPr>
          <w:rFonts w:ascii="Times New Roman" w:hAnsi="Times New Roman" w:eastAsia="仿宋_GB2312"/>
          <w:color w:val="000000"/>
          <w:spacing w:val="-8"/>
          <w:sz w:val="32"/>
          <w:szCs w:val="32"/>
        </w:rPr>
        <w:t>”</w:t>
      </w:r>
      <w:r>
        <w:rPr>
          <w:rFonts w:hint="eastAsia" w:ascii="Times New Roman" w:hAnsi="Times New Roman" w:eastAsia="仿宋_GB2312"/>
          <w:color w:val="000000"/>
          <w:spacing w:val="-8"/>
          <w:sz w:val="32"/>
          <w:szCs w:val="32"/>
        </w:rPr>
        <w:t>的治理体系。创新乡村人才培育引进使用机制，强化乡村振兴人才支撑，加大对返乡人才的支持力度。</w:t>
      </w:r>
    </w:p>
    <w:p>
      <w:pPr>
        <w:spacing w:line="560" w:lineRule="exact"/>
        <w:ind w:firstLine="640" w:firstLineChars="200"/>
        <w:rPr>
          <w:rFonts w:ascii="Times New Roman" w:hAnsi="Times New Roman" w:eastAsia="仿宋_GB2312"/>
          <w:color w:val="000000"/>
          <w:spacing w:val="-6"/>
          <w:sz w:val="32"/>
          <w:szCs w:val="32"/>
        </w:rPr>
      </w:pPr>
      <w:r>
        <w:rPr>
          <w:rFonts w:hint="eastAsia" w:ascii="Times New Roman" w:hAnsi="Times New Roman" w:eastAsia="仿宋_GB2312"/>
          <w:color w:val="000000"/>
          <w:sz w:val="32"/>
          <w:szCs w:val="32"/>
        </w:rPr>
        <w:t>生活富裕。加强职业技能培训，大力支持农民工等群体返乡创业，引导农民就近实现就业，加快发展家庭经营性产业，深化苏陕津陕对口协作，大力推广</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社区</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工厂</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社区</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景区</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社区</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园区</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等就业模式。通过鼓励和引导新型农业经营主体延长产业链，对农产品进行初加工和深加工，将农业附加值留在农村，拓宽农民增收渠道。按照抓重点、补短板、强弱项的要求，强化乡村振兴人才支撑，深化农村改革，优先发展</w:t>
      </w:r>
      <w:r>
        <w:rPr>
          <w:rFonts w:hint="eastAsia" w:ascii="Times New Roman" w:hAnsi="Times New Roman" w:eastAsia="仿宋_GB2312"/>
          <w:color w:val="000000"/>
          <w:spacing w:val="-6"/>
          <w:sz w:val="32"/>
          <w:szCs w:val="32"/>
        </w:rPr>
        <w:t>农村教育事业，增加农村公共服务供给，提升农村人居环境，着力改善农村生产生活条件，逐步建立健全覆盖全民、普惠共享、城乡一体的公共服务体系，切实增强农民群众的获得感、幸福感。</w:t>
      </w:r>
    </w:p>
    <w:p>
      <w:pPr>
        <w:spacing w:line="560" w:lineRule="exact"/>
        <w:jc w:val="center"/>
        <w:rPr>
          <w:rFonts w:ascii="Times New Roman" w:hAnsi="Times New Roman" w:eastAsia="楷体_GB2312"/>
          <w:b/>
          <w:bCs/>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175" w:name="_Toc14136"/>
      <w:bookmarkStart w:id="176" w:name="_Toc25748"/>
      <w:bookmarkStart w:id="177" w:name="_Toc29630"/>
      <w:r>
        <w:rPr>
          <w:rFonts w:hint="eastAsia" w:ascii="Times New Roman" w:hAnsi="Times New Roman" w:eastAsia="楷体_GB2312"/>
          <w:b/>
          <w:bCs/>
          <w:color w:val="000000"/>
          <w:sz w:val="32"/>
          <w:szCs w:val="32"/>
        </w:rPr>
        <w:t>第三节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推进公共服务发展</w:t>
      </w:r>
      <w:bookmarkEnd w:id="175"/>
      <w:bookmarkEnd w:id="176"/>
      <w:bookmarkEnd w:id="177"/>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优先发展教育事业，积极扶持普惠性民办幼儿园发展，到</w:t>
      </w:r>
      <w:r>
        <w:rPr>
          <w:rFonts w:ascii="Times New Roman" w:hAnsi="Times New Roman" w:eastAsia="仿宋_GB2312"/>
          <w:color w:val="000000"/>
          <w:sz w:val="32"/>
          <w:szCs w:val="32"/>
        </w:rPr>
        <w:t>2025</w:t>
      </w:r>
      <w:r>
        <w:rPr>
          <w:rFonts w:hint="eastAsia" w:ascii="Times New Roman" w:hAnsi="Times New Roman" w:eastAsia="仿宋_GB2312"/>
          <w:color w:val="000000"/>
          <w:sz w:val="32"/>
          <w:szCs w:val="32"/>
        </w:rPr>
        <w:t>年学前三年教育毛入园率达到</w:t>
      </w:r>
      <w:r>
        <w:rPr>
          <w:rFonts w:ascii="Times New Roman" w:hAnsi="Times New Roman" w:eastAsia="仿宋_GB2312"/>
          <w:color w:val="000000"/>
          <w:sz w:val="32"/>
          <w:szCs w:val="32"/>
        </w:rPr>
        <w:t>96%</w:t>
      </w:r>
      <w:r>
        <w:rPr>
          <w:rFonts w:hint="eastAsia" w:ascii="Times New Roman" w:hAnsi="Times New Roman" w:eastAsia="仿宋_GB2312"/>
          <w:color w:val="000000"/>
          <w:sz w:val="32"/>
          <w:szCs w:val="32"/>
        </w:rPr>
        <w:t>以上。改善义务教育薄弱学校基本办学条件，落实农村义务教育学生营养改善计划，推进义务教育均衡发展。围绕特色产业发展，加快发展职业教育，优化人才培养。提升公共卫生服务水平，加强和完善突发公共事件卫生应急体系，推进疾病预防控制体系建设，加强基层医疗卫生服务能力建设。发挥秦岭中医药资源优势，大力支持中医药和医药事业发展。健全公共文化基础设施，加强秦岭历史文化名城、名镇、名村保护，促进洛南静板书等非物质文化遗产的保护和传</w:t>
      </w:r>
      <w:r>
        <w:rPr>
          <w:rFonts w:hint="eastAsia" w:ascii="Times New Roman" w:hAnsi="Times New Roman" w:eastAsia="仿宋_GB2312"/>
          <w:color w:val="000000"/>
          <w:spacing w:val="-6"/>
          <w:sz w:val="32"/>
          <w:szCs w:val="32"/>
        </w:rPr>
        <w:t>承。加强就业和社会保障，鼓励退役军人、返乡农民工在秦岭生态环境保护等领域创业就业，实施高校毕业生创业引领计划。健全社会养老服务体系和城乡社区服务体系，鼓励社会力量办养老设施，发展社区和居家养老。</w:t>
      </w:r>
    </w:p>
    <w:p>
      <w:pPr>
        <w:spacing w:line="560" w:lineRule="exact"/>
        <w:jc w:val="center"/>
        <w:rPr>
          <w:rFonts w:ascii="Times New Roman" w:hAnsi="Times New Roman" w:eastAsia="楷体_GB2312"/>
          <w:b/>
          <w:bCs/>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178" w:name="_Toc30696"/>
      <w:bookmarkStart w:id="179" w:name="_Toc24780"/>
      <w:bookmarkStart w:id="180" w:name="_Toc10487"/>
      <w:r>
        <w:rPr>
          <w:rFonts w:hint="eastAsia" w:ascii="Times New Roman" w:hAnsi="Times New Roman" w:eastAsia="楷体_GB2312"/>
          <w:b/>
          <w:bCs/>
          <w:color w:val="000000"/>
          <w:sz w:val="32"/>
          <w:szCs w:val="32"/>
        </w:rPr>
        <w:t>第四节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坚决打赢污染防治攻坚战</w:t>
      </w:r>
      <w:bookmarkEnd w:id="178"/>
      <w:bookmarkEnd w:id="179"/>
      <w:bookmarkEnd w:id="180"/>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坚持底线思维，扭住重点发力，依法治污、科学治污、精准治污，坚决打赢</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蓝天、碧水、净土、青山</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四大保卫战，推动全县生态环境质量持续好转。</w:t>
      </w:r>
    </w:p>
    <w:p>
      <w:pPr>
        <w:spacing w:line="560" w:lineRule="exact"/>
        <w:ind w:firstLine="600" w:firstLineChars="200"/>
        <w:rPr>
          <w:rFonts w:ascii="Times New Roman" w:hAnsi="Times New Roman" w:eastAsia="仿宋_GB2312"/>
          <w:color w:val="000000"/>
          <w:spacing w:val="-6"/>
          <w:sz w:val="32"/>
          <w:szCs w:val="32"/>
        </w:rPr>
      </w:pPr>
      <w:r>
        <w:rPr>
          <w:rFonts w:hint="eastAsia" w:ascii="Times New Roman" w:hAnsi="Times New Roman" w:eastAsia="仿宋_GB2312"/>
          <w:color w:val="000000"/>
          <w:spacing w:val="-10"/>
          <w:sz w:val="32"/>
          <w:szCs w:val="32"/>
        </w:rPr>
        <w:t>打好蓝天</w:t>
      </w:r>
      <w:r>
        <w:rPr>
          <w:rFonts w:hint="eastAsia" w:ascii="Times New Roman" w:hAnsi="Times New Roman" w:eastAsia="仿宋_GB2312"/>
          <w:color w:val="000000"/>
          <w:spacing w:val="-6"/>
          <w:sz w:val="32"/>
          <w:szCs w:val="32"/>
        </w:rPr>
        <w:t>保卫战，严格控制大气污染物排放总量，打好</w:t>
      </w:r>
      <w:r>
        <w:rPr>
          <w:rFonts w:ascii="Times New Roman" w:hAnsi="Times New Roman" w:eastAsia="仿宋_GB2312"/>
          <w:color w:val="000000"/>
          <w:spacing w:val="-6"/>
          <w:sz w:val="32"/>
          <w:szCs w:val="32"/>
        </w:rPr>
        <w:t>“</w:t>
      </w:r>
      <w:r>
        <w:rPr>
          <w:rFonts w:hint="eastAsia" w:ascii="Times New Roman" w:hAnsi="Times New Roman" w:eastAsia="仿宋_GB2312"/>
          <w:color w:val="000000"/>
          <w:spacing w:val="-6"/>
          <w:sz w:val="32"/>
          <w:szCs w:val="32"/>
        </w:rPr>
        <w:t>减煤、控车、抑尘、禁燃、治源、增绿</w:t>
      </w:r>
      <w:r>
        <w:rPr>
          <w:rFonts w:ascii="Times New Roman" w:hAnsi="Times New Roman" w:eastAsia="仿宋_GB2312"/>
          <w:color w:val="000000"/>
          <w:spacing w:val="-6"/>
          <w:sz w:val="32"/>
          <w:szCs w:val="32"/>
        </w:rPr>
        <w:t>”</w:t>
      </w:r>
      <w:r>
        <w:rPr>
          <w:rFonts w:hint="eastAsia" w:ascii="Times New Roman" w:hAnsi="Times New Roman" w:eastAsia="仿宋_GB2312"/>
          <w:color w:val="000000"/>
          <w:spacing w:val="-6"/>
          <w:sz w:val="32"/>
          <w:szCs w:val="32"/>
        </w:rPr>
        <w:t>组合拳，不断改善空气质量。打好碧水保卫战，深入实施水污染防治行动计划，深化重点流域、饮用水源、黑臭水体、入河排污口、地下水污染、工业聚集区治理，不断提升水污染处理、水资源利用、水风险防范水平。打好净土保卫战，实施土壤污染治理修复、污染地块安全利用，完善农业面源污染防治网格化监测管理体系，实施农用地分类管理。打好青山保卫战，建立健全青山网格化、数字化、智能化生态环境监测评估体系，打造</w:t>
      </w:r>
      <w:r>
        <w:rPr>
          <w:rFonts w:ascii="Times New Roman" w:hAnsi="Times New Roman" w:eastAsia="仿宋_GB2312"/>
          <w:color w:val="000000"/>
          <w:spacing w:val="-6"/>
          <w:sz w:val="32"/>
          <w:szCs w:val="32"/>
        </w:rPr>
        <w:t>“</w:t>
      </w:r>
      <w:r>
        <w:rPr>
          <w:rFonts w:hint="eastAsia" w:ascii="Times New Roman" w:hAnsi="Times New Roman" w:eastAsia="仿宋_GB2312"/>
          <w:color w:val="000000"/>
          <w:spacing w:val="-6"/>
          <w:sz w:val="32"/>
          <w:szCs w:val="32"/>
        </w:rPr>
        <w:t>天地空一体</w:t>
      </w:r>
      <w:r>
        <w:rPr>
          <w:rFonts w:ascii="Times New Roman" w:hAnsi="Times New Roman" w:eastAsia="仿宋_GB2312"/>
          <w:color w:val="000000"/>
          <w:spacing w:val="-6"/>
          <w:sz w:val="32"/>
          <w:szCs w:val="32"/>
        </w:rPr>
        <w:t>”</w:t>
      </w:r>
      <w:r>
        <w:rPr>
          <w:rFonts w:hint="eastAsia" w:ascii="Times New Roman" w:hAnsi="Times New Roman" w:eastAsia="仿宋_GB2312"/>
          <w:color w:val="000000"/>
          <w:spacing w:val="-6"/>
          <w:sz w:val="32"/>
          <w:szCs w:val="32"/>
        </w:rPr>
        <w:t>的监测网络体系。</w:t>
      </w:r>
    </w:p>
    <w:p>
      <w:pPr>
        <w:spacing w:line="606" w:lineRule="exact"/>
        <w:jc w:val="center"/>
        <w:rPr>
          <w:rFonts w:ascii="Times New Roman" w:hAnsi="Times New Roman" w:eastAsia="仿宋_GB2312"/>
          <w:color w:val="000000"/>
          <w:sz w:val="32"/>
          <w:szCs w:val="32"/>
        </w:rPr>
      </w:pPr>
      <w:r>
        <w:rPr>
          <w:rFonts w:hint="eastAsia" w:ascii="Times New Roman" w:hAnsi="Times New Roman" w:eastAsia="楷体_GB2312"/>
          <w:b/>
          <w:bCs/>
          <w:color w:val="000000"/>
          <w:sz w:val="28"/>
          <w:szCs w:val="28"/>
        </w:rPr>
        <w:t>专栏</w:t>
      </w:r>
      <w:r>
        <w:rPr>
          <w:rFonts w:ascii="Times New Roman" w:hAnsi="Times New Roman" w:eastAsia="楷体_GB2312"/>
          <w:b/>
          <w:bCs/>
          <w:color w:val="000000"/>
          <w:sz w:val="28"/>
          <w:szCs w:val="28"/>
        </w:rPr>
        <w:t xml:space="preserve">14  </w:t>
      </w:r>
      <w:r>
        <w:rPr>
          <w:rFonts w:hint="eastAsia" w:ascii="Times New Roman" w:hAnsi="Times New Roman" w:eastAsia="楷体_GB2312"/>
          <w:b/>
          <w:bCs/>
          <w:color w:val="000000"/>
          <w:sz w:val="28"/>
          <w:szCs w:val="28"/>
        </w:rPr>
        <w:t>污染防治攻坚战重点工程</w:t>
      </w:r>
    </w:p>
    <w:tbl>
      <w:tblPr>
        <w:tblStyle w:val="7"/>
        <w:tblW w:w="88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88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72" w:hRule="atLeast"/>
        </w:trPr>
        <w:tc>
          <w:tcPr>
            <w:tcW w:w="8854" w:type="dxa"/>
            <w:vAlign w:val="center"/>
          </w:tcPr>
          <w:p>
            <w:pPr>
              <w:spacing w:line="400" w:lineRule="exact"/>
              <w:ind w:firstLine="479" w:firstLineChars="199"/>
              <w:rPr>
                <w:rFonts w:ascii="Times New Roman" w:hAnsi="Times New Roman" w:eastAsia="仿宋_GB2312"/>
                <w:color w:val="000000"/>
                <w:sz w:val="24"/>
              </w:rPr>
            </w:pPr>
            <w:r>
              <w:rPr>
                <w:rFonts w:hint="eastAsia" w:ascii="Times New Roman" w:hAnsi="Times New Roman" w:eastAsia="仿宋_GB2312"/>
                <w:b/>
                <w:bCs/>
                <w:color w:val="000000"/>
                <w:sz w:val="24"/>
              </w:rPr>
              <w:t>大气污染防治工程。</w:t>
            </w:r>
            <w:r>
              <w:rPr>
                <w:rFonts w:hint="eastAsia" w:ascii="Times New Roman" w:hAnsi="Times New Roman" w:eastAsia="仿宋_GB2312"/>
                <w:color w:val="000000"/>
                <w:sz w:val="24"/>
              </w:rPr>
              <w:t>实施大气环境监测能力提升项目和相关煤改气及煤改电辅助工程。</w:t>
            </w:r>
            <w:r>
              <w:rPr>
                <w:rFonts w:ascii="Times New Roman" w:hAnsi="Times New Roman" w:eastAsia="仿宋_GB2312"/>
                <w:color w:val="000000"/>
                <w:sz w:val="24"/>
              </w:rPr>
              <w:t xml:space="preserve"> </w:t>
            </w:r>
          </w:p>
          <w:p>
            <w:pPr>
              <w:spacing w:line="400" w:lineRule="exact"/>
              <w:ind w:firstLine="482" w:firstLineChars="200"/>
              <w:rPr>
                <w:rFonts w:ascii="Times New Roman" w:hAnsi="Times New Roman" w:eastAsia="仿宋_GB2312"/>
                <w:color w:val="000000"/>
                <w:sz w:val="24"/>
                <w:szCs w:val="28"/>
              </w:rPr>
            </w:pPr>
            <w:r>
              <w:rPr>
                <w:rFonts w:hint="eastAsia" w:ascii="Times New Roman" w:hAnsi="Times New Roman" w:eastAsia="仿宋_GB2312"/>
                <w:b/>
                <w:bCs/>
                <w:color w:val="000000"/>
                <w:sz w:val="24"/>
                <w:szCs w:val="28"/>
              </w:rPr>
              <w:t>水污染防治工程。</w:t>
            </w:r>
            <w:r>
              <w:rPr>
                <w:rFonts w:hint="eastAsia" w:ascii="Times New Roman" w:hAnsi="Times New Roman" w:eastAsia="仿宋_GB2312"/>
                <w:color w:val="000000"/>
                <w:sz w:val="24"/>
                <w:szCs w:val="28"/>
              </w:rPr>
              <w:t>实施污水处理</w:t>
            </w:r>
            <w:r>
              <w:rPr>
                <w:rFonts w:ascii="Times New Roman" w:hAnsi="Times New Roman" w:eastAsia="仿宋_GB2312"/>
                <w:color w:val="000000"/>
                <w:sz w:val="24"/>
                <w:szCs w:val="28"/>
              </w:rPr>
              <w:t>PPP</w:t>
            </w:r>
            <w:r>
              <w:rPr>
                <w:rFonts w:hint="eastAsia" w:ascii="Times New Roman" w:hAnsi="Times New Roman" w:eastAsia="仿宋_GB2312"/>
                <w:color w:val="000000"/>
                <w:sz w:val="24"/>
                <w:szCs w:val="28"/>
              </w:rPr>
              <w:t>项目，新建污水处理项目</w:t>
            </w:r>
            <w:r>
              <w:rPr>
                <w:rFonts w:ascii="Times New Roman" w:hAnsi="Times New Roman" w:eastAsia="仿宋_GB2312"/>
                <w:color w:val="000000"/>
                <w:sz w:val="24"/>
                <w:szCs w:val="28"/>
              </w:rPr>
              <w:t>97</w:t>
            </w:r>
            <w:r>
              <w:rPr>
                <w:rFonts w:hint="eastAsia" w:ascii="Times New Roman" w:hAnsi="Times New Roman" w:eastAsia="仿宋_GB2312"/>
                <w:color w:val="000000"/>
                <w:sz w:val="24"/>
                <w:szCs w:val="28"/>
              </w:rPr>
              <w:t>座，实施污水管网改造工程。</w:t>
            </w:r>
          </w:p>
          <w:p>
            <w:pPr>
              <w:spacing w:line="400" w:lineRule="exact"/>
              <w:ind w:firstLine="482" w:firstLineChars="200"/>
              <w:rPr>
                <w:rFonts w:ascii="Times New Roman" w:hAnsi="Times New Roman" w:eastAsia="仿宋_GB2312"/>
                <w:bCs/>
                <w:color w:val="000000"/>
                <w:sz w:val="28"/>
                <w:szCs w:val="28"/>
              </w:rPr>
            </w:pPr>
            <w:r>
              <w:rPr>
                <w:rFonts w:hint="eastAsia" w:ascii="Times New Roman" w:hAnsi="Times New Roman" w:eastAsia="仿宋_GB2312"/>
                <w:b/>
                <w:bCs/>
                <w:color w:val="000000"/>
                <w:sz w:val="24"/>
                <w:szCs w:val="28"/>
              </w:rPr>
              <w:t>土壤污染防治工程。</w:t>
            </w:r>
            <w:r>
              <w:rPr>
                <w:rFonts w:hint="eastAsia" w:ascii="Times New Roman" w:hAnsi="Times New Roman" w:eastAsia="仿宋_GB2312"/>
                <w:color w:val="000000"/>
                <w:sz w:val="24"/>
                <w:szCs w:val="28"/>
              </w:rPr>
              <w:t>实施垃圾处理</w:t>
            </w:r>
            <w:r>
              <w:rPr>
                <w:rFonts w:ascii="Times New Roman" w:hAnsi="Times New Roman" w:eastAsia="仿宋_GB2312"/>
                <w:color w:val="000000"/>
                <w:sz w:val="24"/>
                <w:szCs w:val="28"/>
              </w:rPr>
              <w:t>PPP</w:t>
            </w:r>
            <w:r>
              <w:rPr>
                <w:rFonts w:hint="eastAsia" w:ascii="Times New Roman" w:hAnsi="Times New Roman" w:eastAsia="仿宋_GB2312"/>
                <w:color w:val="000000"/>
                <w:sz w:val="24"/>
                <w:szCs w:val="28"/>
              </w:rPr>
              <w:t>项目，建设垃圾运送及处理系统，以及垃</w:t>
            </w:r>
            <w:r>
              <w:rPr>
                <w:rFonts w:hint="eastAsia" w:ascii="Times New Roman" w:hAnsi="Times New Roman" w:eastAsia="仿宋_GB2312"/>
                <w:color w:val="000000"/>
                <w:spacing w:val="8"/>
                <w:sz w:val="24"/>
                <w:szCs w:val="28"/>
              </w:rPr>
              <w:t>圾分类及生活垃圾资源化利用分拣中心、厨余垃圾处理和土壤重金属污染治理等项目。</w:t>
            </w:r>
          </w:p>
        </w:tc>
      </w:tr>
    </w:tbl>
    <w:p>
      <w:pPr>
        <w:spacing w:line="606" w:lineRule="exact"/>
        <w:jc w:val="center"/>
        <w:rPr>
          <w:rFonts w:ascii="Times New Roman" w:hAnsi="Times New Roman" w:eastAsia="楷体_GB2312"/>
          <w:b/>
          <w:bCs/>
          <w:color w:val="000000"/>
          <w:sz w:val="32"/>
          <w:szCs w:val="32"/>
        </w:rPr>
      </w:pPr>
    </w:p>
    <w:p>
      <w:pPr>
        <w:pStyle w:val="2"/>
        <w:rPr>
          <w:rFonts w:ascii="Times New Roman" w:hAnsi="Times New Roman"/>
        </w:rPr>
      </w:pPr>
    </w:p>
    <w:p>
      <w:pPr>
        <w:spacing w:line="560" w:lineRule="exact"/>
        <w:jc w:val="center"/>
        <w:outlineLvl w:val="1"/>
        <w:rPr>
          <w:rFonts w:ascii="Times New Roman" w:hAnsi="Times New Roman" w:eastAsia="楷体_GB2312"/>
          <w:b/>
          <w:bCs/>
          <w:color w:val="000000"/>
          <w:sz w:val="32"/>
          <w:szCs w:val="32"/>
        </w:rPr>
      </w:pPr>
      <w:bookmarkStart w:id="181" w:name="_Toc19018"/>
      <w:bookmarkStart w:id="182" w:name="_Toc20435"/>
      <w:bookmarkStart w:id="183" w:name="_Toc16126"/>
      <w:r>
        <w:rPr>
          <w:rFonts w:hint="eastAsia" w:ascii="Times New Roman" w:hAnsi="Times New Roman" w:eastAsia="楷体_GB2312"/>
          <w:b/>
          <w:bCs/>
          <w:color w:val="000000"/>
          <w:sz w:val="32"/>
          <w:szCs w:val="32"/>
        </w:rPr>
        <w:t>第五节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打造精美县城</w:t>
      </w:r>
      <w:bookmarkEnd w:id="181"/>
      <w:bookmarkEnd w:id="182"/>
      <w:bookmarkEnd w:id="183"/>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优化规划布局，提升建设品质，塑造特色风貌，完善功能配套，创新管理服务，持续推动县城内涵式发展，加快产城融合发展，不断提升人口集聚度、环境优美度、资源承载度、生活便利度、社会文明度和公共安全度。</w:t>
      </w:r>
      <w:r>
        <w:rPr>
          <w:rFonts w:hint="eastAsia" w:ascii="Times New Roman" w:hAnsi="Times New Roman" w:eastAsia="仿宋"/>
          <w:color w:val="000000"/>
          <w:sz w:val="32"/>
          <w:szCs w:val="32"/>
        </w:rPr>
        <w:t>完善和落实主体功能区战略，</w:t>
      </w:r>
      <w:r>
        <w:rPr>
          <w:rFonts w:hint="eastAsia" w:ascii="Times New Roman" w:hAnsi="Times New Roman" w:eastAsia="仿宋_GB2312"/>
          <w:color w:val="000000"/>
          <w:sz w:val="32"/>
          <w:szCs w:val="32"/>
        </w:rPr>
        <w:t>扎实推动以县城为主要载体的新型城镇化建设，促进产业集群、城镇布局和人口分布相衔接，增强城镇综合承载能力和可持续发展能力。加大撤县设区工作力度。</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提升城市环境品质。坚持以人为本，加强对重点区域、重点地段、重点环节的城市设计和控规深化，注重混合功能，在社区公园、海绵城市、地下管廊、绿色廊道、应急体系建设和城市色彩规划等方面狠下功夫，建设多层级的城市公园绿地体系，塑造绿色低碳的生态城市，让生态城市、宜居城市的特色更加鲜明，打造</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天更蓝、山更绿、水更清、环境更优美</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的美丽幸福洛南。</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深化城市精细化管理。树</w:t>
      </w:r>
      <w:r>
        <w:rPr>
          <w:rFonts w:hint="eastAsia" w:ascii="Times New Roman" w:hAnsi="Times New Roman" w:eastAsia="仿宋_GB2312"/>
          <w:color w:val="000000"/>
          <w:spacing w:val="-6"/>
          <w:sz w:val="32"/>
          <w:szCs w:val="32"/>
        </w:rPr>
        <w:t>牢</w:t>
      </w:r>
      <w:r>
        <w:rPr>
          <w:rFonts w:ascii="Times New Roman" w:hAnsi="Times New Roman" w:eastAsia="仿宋_GB2312"/>
          <w:color w:val="000000"/>
          <w:spacing w:val="-6"/>
          <w:sz w:val="32"/>
          <w:szCs w:val="32"/>
        </w:rPr>
        <w:t>“</w:t>
      </w:r>
      <w:r>
        <w:rPr>
          <w:rFonts w:hint="eastAsia" w:ascii="Times New Roman" w:hAnsi="Times New Roman" w:eastAsia="仿宋_GB2312"/>
          <w:color w:val="000000"/>
          <w:spacing w:val="-6"/>
          <w:sz w:val="32"/>
          <w:szCs w:val="32"/>
        </w:rPr>
        <w:t>以人民为中心</w:t>
      </w:r>
      <w:r>
        <w:rPr>
          <w:rFonts w:ascii="Times New Roman" w:hAnsi="Times New Roman" w:eastAsia="仿宋_GB2312"/>
          <w:color w:val="000000"/>
          <w:spacing w:val="-6"/>
          <w:sz w:val="32"/>
          <w:szCs w:val="32"/>
        </w:rPr>
        <w:t>”</w:t>
      </w:r>
      <w:r>
        <w:rPr>
          <w:rFonts w:hint="eastAsia" w:ascii="Times New Roman" w:hAnsi="Times New Roman" w:eastAsia="仿宋_GB2312"/>
          <w:color w:val="000000"/>
          <w:spacing w:val="-6"/>
          <w:sz w:val="32"/>
          <w:szCs w:val="32"/>
        </w:rPr>
        <w:t>的城市发展观、</w:t>
      </w:r>
      <w:r>
        <w:rPr>
          <w:rFonts w:ascii="Times New Roman" w:hAnsi="Times New Roman" w:eastAsia="仿宋_GB2312"/>
          <w:color w:val="000000"/>
          <w:spacing w:val="-6"/>
          <w:sz w:val="32"/>
          <w:szCs w:val="32"/>
        </w:rPr>
        <w:t>“</w:t>
      </w:r>
      <w:r>
        <w:rPr>
          <w:rFonts w:hint="eastAsia" w:ascii="Times New Roman" w:hAnsi="Times New Roman" w:eastAsia="仿宋_GB2312"/>
          <w:color w:val="000000"/>
          <w:spacing w:val="-6"/>
          <w:sz w:val="32"/>
          <w:szCs w:val="32"/>
        </w:rPr>
        <w:t>生态优先、绿色发展</w:t>
      </w:r>
      <w:r>
        <w:rPr>
          <w:rFonts w:ascii="Times New Roman" w:hAnsi="Times New Roman" w:eastAsia="仿宋_GB2312"/>
          <w:color w:val="000000"/>
          <w:spacing w:val="-6"/>
          <w:sz w:val="32"/>
          <w:szCs w:val="32"/>
        </w:rPr>
        <w:t>”</w:t>
      </w:r>
      <w:r>
        <w:rPr>
          <w:rFonts w:hint="eastAsia" w:ascii="Times New Roman" w:hAnsi="Times New Roman" w:eastAsia="仿宋_GB2312"/>
          <w:color w:val="000000"/>
          <w:spacing w:val="-6"/>
          <w:sz w:val="32"/>
          <w:szCs w:val="32"/>
        </w:rPr>
        <w:t>的城市环境观和</w:t>
      </w:r>
      <w:r>
        <w:rPr>
          <w:rFonts w:ascii="Times New Roman" w:hAnsi="Times New Roman" w:eastAsia="仿宋_GB2312"/>
          <w:color w:val="000000"/>
          <w:spacing w:val="-6"/>
          <w:sz w:val="32"/>
          <w:szCs w:val="32"/>
        </w:rPr>
        <w:t>“</w:t>
      </w:r>
      <w:r>
        <w:rPr>
          <w:rFonts w:hint="eastAsia" w:ascii="Times New Roman" w:hAnsi="Times New Roman" w:eastAsia="仿宋_GB2312"/>
          <w:color w:val="000000"/>
          <w:spacing w:val="-6"/>
          <w:sz w:val="32"/>
          <w:szCs w:val="32"/>
        </w:rPr>
        <w:t>市场经营</w:t>
      </w:r>
      <w:r>
        <w:rPr>
          <w:rFonts w:ascii="Times New Roman" w:hAnsi="Times New Roman" w:eastAsia="仿宋_GB2312"/>
          <w:color w:val="000000"/>
          <w:spacing w:val="-6"/>
          <w:sz w:val="32"/>
          <w:szCs w:val="32"/>
        </w:rPr>
        <w:t>”</w:t>
      </w:r>
      <w:r>
        <w:rPr>
          <w:rFonts w:hint="eastAsia" w:ascii="Times New Roman" w:hAnsi="Times New Roman" w:eastAsia="仿宋_GB2312"/>
          <w:color w:val="000000"/>
          <w:spacing w:val="-6"/>
          <w:sz w:val="32"/>
          <w:szCs w:val="32"/>
        </w:rPr>
        <w:t>的城市成长观，推进城市现代化发展，不断提升城市品位内涵。严格城市管理执法，深入推动户外广告整治、闲置地块复绿等工作，加快改善市容市貌，以</w:t>
      </w:r>
      <w:r>
        <w:rPr>
          <w:rFonts w:ascii="Times New Roman" w:hAnsi="Times New Roman" w:eastAsia="仿宋_GB2312"/>
          <w:color w:val="000000"/>
          <w:spacing w:val="-6"/>
          <w:sz w:val="32"/>
          <w:szCs w:val="32"/>
        </w:rPr>
        <w:t>“</w:t>
      </w:r>
      <w:r>
        <w:rPr>
          <w:rFonts w:hint="eastAsia" w:ascii="Times New Roman" w:hAnsi="Times New Roman" w:eastAsia="仿宋_GB2312"/>
          <w:color w:val="000000"/>
          <w:spacing w:val="-6"/>
          <w:sz w:val="32"/>
          <w:szCs w:val="32"/>
        </w:rPr>
        <w:t>小切口</w:t>
      </w:r>
      <w:r>
        <w:rPr>
          <w:rFonts w:ascii="Times New Roman" w:hAnsi="Times New Roman" w:eastAsia="仿宋_GB2312"/>
          <w:color w:val="000000"/>
          <w:spacing w:val="-6"/>
          <w:sz w:val="32"/>
          <w:szCs w:val="32"/>
        </w:rPr>
        <w:t>”</w:t>
      </w:r>
      <w:r>
        <w:rPr>
          <w:rFonts w:hint="eastAsia" w:ascii="Times New Roman" w:hAnsi="Times New Roman" w:eastAsia="仿宋_GB2312"/>
          <w:color w:val="000000"/>
          <w:spacing w:val="-6"/>
          <w:sz w:val="32"/>
          <w:szCs w:val="32"/>
        </w:rPr>
        <w:t>治</w:t>
      </w:r>
      <w:r>
        <w:rPr>
          <w:rFonts w:ascii="Times New Roman" w:hAnsi="Times New Roman" w:eastAsia="仿宋_GB2312"/>
          <w:color w:val="000000"/>
          <w:spacing w:val="-6"/>
          <w:sz w:val="32"/>
          <w:szCs w:val="32"/>
        </w:rPr>
        <w:t>“</w:t>
      </w:r>
      <w:r>
        <w:rPr>
          <w:rFonts w:hint="eastAsia" w:ascii="Times New Roman" w:hAnsi="Times New Roman" w:eastAsia="仿宋_GB2312"/>
          <w:color w:val="000000"/>
          <w:spacing w:val="-6"/>
          <w:sz w:val="32"/>
          <w:szCs w:val="32"/>
        </w:rPr>
        <w:t>大毛病</w:t>
      </w:r>
      <w:r>
        <w:rPr>
          <w:rFonts w:ascii="Times New Roman" w:hAnsi="Times New Roman" w:eastAsia="仿宋_GB2312"/>
          <w:color w:val="000000"/>
          <w:spacing w:val="-6"/>
          <w:sz w:val="32"/>
          <w:szCs w:val="32"/>
        </w:rPr>
        <w:t>”</w:t>
      </w:r>
      <w:r>
        <w:rPr>
          <w:rFonts w:hint="eastAsia" w:ascii="Times New Roman" w:hAnsi="Times New Roman" w:eastAsia="仿宋_GB2312"/>
          <w:color w:val="000000"/>
          <w:spacing w:val="-6"/>
          <w:sz w:val="32"/>
          <w:szCs w:val="32"/>
        </w:rPr>
        <w:t>、树</w:t>
      </w:r>
      <w:r>
        <w:rPr>
          <w:rFonts w:ascii="Times New Roman" w:hAnsi="Times New Roman" w:eastAsia="仿宋_GB2312"/>
          <w:color w:val="000000"/>
          <w:spacing w:val="-6"/>
          <w:sz w:val="32"/>
          <w:szCs w:val="32"/>
        </w:rPr>
        <w:t>“</w:t>
      </w:r>
      <w:r>
        <w:rPr>
          <w:rFonts w:hint="eastAsia" w:ascii="Times New Roman" w:hAnsi="Times New Roman" w:eastAsia="仿宋_GB2312"/>
          <w:color w:val="000000"/>
          <w:spacing w:val="-6"/>
          <w:sz w:val="32"/>
          <w:szCs w:val="32"/>
        </w:rPr>
        <w:t>新样板</w:t>
      </w:r>
      <w:r>
        <w:rPr>
          <w:rFonts w:ascii="Times New Roman" w:hAnsi="Times New Roman" w:eastAsia="仿宋_GB2312"/>
          <w:color w:val="000000"/>
          <w:spacing w:val="-6"/>
          <w:sz w:val="32"/>
          <w:szCs w:val="32"/>
        </w:rPr>
        <w:t>”</w:t>
      </w:r>
      <w:r>
        <w:rPr>
          <w:rFonts w:hint="eastAsia" w:ascii="Times New Roman" w:hAnsi="Times New Roman" w:eastAsia="仿宋_GB2312"/>
          <w:color w:val="000000"/>
          <w:sz w:val="32"/>
          <w:szCs w:val="32"/>
        </w:rPr>
        <w:t>。</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加快生活方式绿色转变。在全社会广泛推广简约适度、绿色低碳、文明健康的生活理念、生活方式。大力推动绿色示范创建，开展节约型机关和绿色社区、绿色家庭、绿色学校、绿色商场、绿色建筑等创建行动，推行垃圾分类管理，倡导绿色生产、绿色消费、绿色居住、绿色出行，引导公众养成绿色生活方式。增强绿色产品供给，建立健全环保、节能、低碳、有机等绿色产品标准、认证标识等体系。</w:t>
      </w:r>
    </w:p>
    <w:p>
      <w:pPr>
        <w:pStyle w:val="2"/>
        <w:spacing w:after="0" w:line="560" w:lineRule="exact"/>
        <w:rPr>
          <w:rFonts w:ascii="Times New Roman" w:hAnsi="Times New Roman"/>
        </w:rPr>
      </w:pPr>
    </w:p>
    <w:p>
      <w:pPr>
        <w:spacing w:line="560" w:lineRule="exact"/>
        <w:jc w:val="center"/>
        <w:outlineLvl w:val="0"/>
        <w:rPr>
          <w:rFonts w:ascii="Times New Roman" w:hAnsi="Times New Roman" w:eastAsia="黑体"/>
          <w:color w:val="000000"/>
          <w:sz w:val="32"/>
          <w:szCs w:val="32"/>
        </w:rPr>
      </w:pPr>
      <w:bookmarkStart w:id="184" w:name="_Toc7753"/>
      <w:bookmarkStart w:id="185" w:name="_Toc17032"/>
      <w:bookmarkStart w:id="186" w:name="_Toc24464"/>
      <w:r>
        <w:rPr>
          <w:rFonts w:hint="eastAsia" w:ascii="Times New Roman" w:hAnsi="Times New Roman" w:eastAsia="黑体"/>
          <w:color w:val="000000"/>
          <w:sz w:val="32"/>
          <w:szCs w:val="32"/>
        </w:rPr>
        <w:t>第十一章</w:t>
      </w:r>
      <w:r>
        <w:rPr>
          <w:rFonts w:ascii="Times New Roman" w:hAnsi="Times New Roman" w:eastAsia="黑体"/>
          <w:color w:val="000000"/>
          <w:sz w:val="32"/>
          <w:szCs w:val="32"/>
        </w:rPr>
        <w:t xml:space="preserve">  </w:t>
      </w:r>
      <w:r>
        <w:rPr>
          <w:rFonts w:hint="eastAsia" w:ascii="Times New Roman" w:hAnsi="Times New Roman" w:eastAsia="黑体"/>
          <w:color w:val="000000"/>
          <w:sz w:val="32"/>
          <w:szCs w:val="32"/>
        </w:rPr>
        <w:t>方案实施</w:t>
      </w:r>
      <w:bookmarkEnd w:id="184"/>
      <w:bookmarkEnd w:id="185"/>
      <w:bookmarkEnd w:id="186"/>
    </w:p>
    <w:p>
      <w:pPr>
        <w:spacing w:line="560" w:lineRule="exact"/>
        <w:jc w:val="center"/>
        <w:rPr>
          <w:rFonts w:ascii="Times New Roman" w:hAnsi="Times New Roman" w:eastAsia="楷体_GB2312"/>
          <w:b/>
          <w:bCs/>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187" w:name="_Toc31600"/>
      <w:bookmarkStart w:id="188" w:name="_Toc10140"/>
      <w:bookmarkStart w:id="189" w:name="_Toc31112"/>
      <w:r>
        <w:rPr>
          <w:rFonts w:hint="eastAsia" w:ascii="Times New Roman" w:hAnsi="Times New Roman" w:eastAsia="楷体_GB2312"/>
          <w:b/>
          <w:bCs/>
          <w:color w:val="000000"/>
          <w:sz w:val="32"/>
          <w:szCs w:val="32"/>
        </w:rPr>
        <w:t>第一节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保护职责</w:t>
      </w:r>
      <w:bookmarkEnd w:id="187"/>
      <w:bookmarkEnd w:id="188"/>
      <w:bookmarkEnd w:id="189"/>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县委对秦岭生态环境保护工作负总责，县政府负主体责任，镇政府、街道办事处做好辖区内秦岭生态环境保护相关工作。县级有关部门各负其责，协同配合，依法履行各自职责，共同做好秦岭生态环境保护工作。</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县秦岭生态环境保护委员会负责秦岭生态环境保护的统筹规划、综合协调、监督检查和考核评价工作。</w:t>
      </w:r>
    </w:p>
    <w:p>
      <w:pPr>
        <w:pStyle w:val="2"/>
        <w:spacing w:after="0" w:line="560" w:lineRule="exact"/>
        <w:ind w:firstLine="640" w:firstLineChars="200"/>
        <w:rPr>
          <w:rFonts w:ascii="仿宋_GB2312" w:hAnsi="Times New Roman" w:eastAsia="仿宋_GB2312"/>
          <w:color w:val="000000"/>
          <w:sz w:val="32"/>
          <w:szCs w:val="32"/>
        </w:rPr>
      </w:pPr>
      <w:r>
        <w:rPr>
          <w:rFonts w:hint="eastAsia" w:ascii="仿宋_GB2312" w:hAnsi="Times New Roman" w:eastAsia="仿宋_GB2312"/>
          <w:color w:val="000000"/>
          <w:sz w:val="32"/>
          <w:szCs w:val="32"/>
        </w:rPr>
        <w:t>生态环境、自然资源、水利、林业、农业农村、气象等行政主管部门应当组织有关机构依法做好水、大气、土壤、气候、森林、野生动物等生态环境要素和自然灾害的监测工作，定期发布环境质量状况和自然灾害预测、预报、预警信息，编制自然灾害、环境污染等突发事件应急预案。</w:t>
      </w:r>
    </w:p>
    <w:p>
      <w:pPr>
        <w:pStyle w:val="2"/>
        <w:spacing w:after="0"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加强秦岭生态环境保护协调合作，围绕生态环境、产业布局、水资源保护等重点方面，共同推进重点工作，共同争取国家政策资金支持，共同维护国家重要生态安全屏障。</w:t>
      </w:r>
    </w:p>
    <w:p>
      <w:pPr>
        <w:pStyle w:val="2"/>
        <w:spacing w:after="0" w:line="560" w:lineRule="exact"/>
        <w:ind w:firstLine="640" w:firstLineChars="200"/>
        <w:rPr>
          <w:rFonts w:ascii="Times New Roman" w:hAnsi="Times New Roman" w:eastAsia="仿宋_GB2312"/>
          <w:color w:val="000000"/>
          <w:sz w:val="32"/>
          <w:szCs w:val="32"/>
        </w:rPr>
      </w:pPr>
    </w:p>
    <w:p>
      <w:pPr>
        <w:pStyle w:val="2"/>
        <w:numPr>
          <w:ilvl w:val="0"/>
          <w:numId w:val="1"/>
        </w:numPr>
        <w:spacing w:after="0" w:line="560" w:lineRule="exact"/>
        <w:ind w:firstLine="2891" w:firstLineChars="900"/>
        <w:outlineLvl w:val="1"/>
        <w:rPr>
          <w:rFonts w:ascii="Times New Roman" w:hAnsi="Times New Roman" w:eastAsia="楷体_GB2312"/>
          <w:b/>
          <w:bCs/>
          <w:color w:val="000000"/>
          <w:sz w:val="32"/>
          <w:szCs w:val="32"/>
        </w:rPr>
      </w:pPr>
      <w:r>
        <w:rPr>
          <w:rFonts w:ascii="Times New Roman" w:hAnsi="Times New Roman" w:eastAsia="楷体_GB2312"/>
          <w:b/>
          <w:bCs/>
          <w:color w:val="000000"/>
          <w:sz w:val="32"/>
          <w:szCs w:val="32"/>
        </w:rPr>
        <w:t xml:space="preserve"> </w:t>
      </w:r>
      <w:bookmarkStart w:id="190" w:name="_Toc10151"/>
      <w:r>
        <w:rPr>
          <w:rFonts w:hint="eastAsia" w:ascii="Times New Roman" w:hAnsi="Times New Roman" w:eastAsia="楷体_GB2312"/>
          <w:b/>
          <w:bCs/>
          <w:color w:val="000000"/>
          <w:sz w:val="32"/>
          <w:szCs w:val="32"/>
        </w:rPr>
        <w:t>规划体系</w:t>
      </w:r>
      <w:bookmarkEnd w:id="190"/>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围绕《方案》，县级相关部门组织编制污染防治、水资源保护利用、水土保持、天然林保护、湿地保护、生物多样性保护、矿产资源开发、旅游等专项规划，绘制全县秦岭生态环境保护规划分区保护详图，加强专项规划之间相互衔接，逐步实现</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多规合一</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w:t>
      </w:r>
    </w:p>
    <w:p>
      <w:pPr>
        <w:pStyle w:val="2"/>
        <w:spacing w:after="0" w:line="560" w:lineRule="exact"/>
        <w:rPr>
          <w:rFonts w:ascii="Times New Roman" w:hAnsi="Times New Roman" w:eastAsia="楷体_GB2312"/>
          <w:b/>
          <w:bCs/>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191" w:name="_Toc24834"/>
      <w:bookmarkStart w:id="192" w:name="_Toc4007"/>
      <w:bookmarkStart w:id="193" w:name="_Toc30930"/>
      <w:r>
        <w:rPr>
          <w:rFonts w:hint="eastAsia" w:ascii="Times New Roman" w:hAnsi="Times New Roman" w:eastAsia="楷体_GB2312"/>
          <w:b/>
          <w:bCs/>
          <w:color w:val="000000"/>
          <w:sz w:val="32"/>
          <w:szCs w:val="32"/>
        </w:rPr>
        <w:t>第三节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制度建设</w:t>
      </w:r>
      <w:bookmarkEnd w:id="191"/>
      <w:bookmarkEnd w:id="192"/>
      <w:bookmarkEnd w:id="193"/>
    </w:p>
    <w:p>
      <w:pPr>
        <w:spacing w:line="560" w:lineRule="exact"/>
        <w:ind w:firstLine="640" w:firstLineChars="200"/>
        <w:rPr>
          <w:rFonts w:ascii="Times New Roman" w:hAnsi="Times New Roman" w:eastAsia="仿宋"/>
          <w:color w:val="000000"/>
          <w:sz w:val="32"/>
          <w:szCs w:val="32"/>
        </w:rPr>
      </w:pPr>
      <w:r>
        <w:rPr>
          <w:rFonts w:hint="eastAsia" w:ascii="Times New Roman" w:hAnsi="Times New Roman" w:eastAsia="仿宋_GB2312"/>
          <w:color w:val="000000"/>
          <w:sz w:val="32"/>
          <w:szCs w:val="32"/>
        </w:rPr>
        <w:t>制度建设。开展秦岭资源环境承载能力评价和国土空间开发适宜性评价，落实《生态环境损害赔偿制度改革方案》《陕西省生态环境损害赔偿制度改革实施方案》，实施生态环境损害赔偿制度，依法开展秦岭生态环境损害赔偿工作，做到应赔尽赔。建立健全生态保护补偿机制，</w:t>
      </w:r>
      <w:r>
        <w:rPr>
          <w:rFonts w:hint="eastAsia" w:ascii="Times New Roman" w:hAnsi="Times New Roman" w:eastAsia="仿宋"/>
          <w:color w:val="000000"/>
          <w:sz w:val="32"/>
          <w:szCs w:val="32"/>
        </w:rPr>
        <w:t>加大向上争取财政转移支付力度。</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推进试点。挖掘秦岭生态产品市场价值，探索建设生态产品交易平台，推行生态产品价值评估、市场交易等试点，推动建立健全生态产品价值实现机制，积极争取列入全国生态产品价值实现机制试点范围，尽快打通</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绿水青山</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与</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金山银山</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的双向转化通道，加快推动绿色高质量发展，使生态效益溢出更多的经济效益、社会效益。</w:t>
      </w:r>
    </w:p>
    <w:p>
      <w:pPr>
        <w:spacing w:line="560" w:lineRule="exact"/>
        <w:jc w:val="center"/>
        <w:rPr>
          <w:rFonts w:ascii="Times New Roman" w:hAnsi="Times New Roman" w:eastAsia="楷体_GB2312"/>
          <w:b/>
          <w:bCs/>
          <w:color w:val="000000"/>
          <w:sz w:val="32"/>
          <w:szCs w:val="32"/>
        </w:rPr>
      </w:pPr>
      <w:bookmarkStart w:id="194" w:name="_Toc28764"/>
      <w:bookmarkStart w:id="195" w:name="_Toc6048"/>
    </w:p>
    <w:p>
      <w:pPr>
        <w:spacing w:line="560" w:lineRule="exact"/>
        <w:jc w:val="center"/>
        <w:outlineLvl w:val="1"/>
        <w:rPr>
          <w:rFonts w:ascii="Times New Roman" w:hAnsi="Times New Roman" w:eastAsia="楷体_GB2312"/>
          <w:b/>
          <w:bCs/>
          <w:color w:val="000000"/>
          <w:sz w:val="32"/>
          <w:szCs w:val="32"/>
        </w:rPr>
      </w:pPr>
      <w:bookmarkStart w:id="196" w:name="_Toc32113"/>
      <w:r>
        <w:rPr>
          <w:rFonts w:hint="eastAsia" w:ascii="Times New Roman" w:hAnsi="Times New Roman" w:eastAsia="楷体_GB2312"/>
          <w:b/>
          <w:bCs/>
          <w:color w:val="000000"/>
          <w:sz w:val="32"/>
          <w:szCs w:val="32"/>
        </w:rPr>
        <w:t>第四节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资金投入</w:t>
      </w:r>
      <w:bookmarkEnd w:id="194"/>
      <w:bookmarkEnd w:id="195"/>
      <w:bookmarkEnd w:id="196"/>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设立县级秦岭生态环境保护专项资金，确保每年投入</w:t>
      </w:r>
      <w:r>
        <w:rPr>
          <w:rFonts w:ascii="Times New Roman" w:hAnsi="Times New Roman" w:eastAsia="仿宋_GB2312"/>
          <w:color w:val="000000"/>
          <w:sz w:val="32"/>
          <w:szCs w:val="32"/>
        </w:rPr>
        <w:t>500</w:t>
      </w:r>
      <w:r>
        <w:rPr>
          <w:rFonts w:hint="eastAsia" w:ascii="Times New Roman" w:hAnsi="Times New Roman" w:eastAsia="仿宋_GB2312"/>
          <w:color w:val="000000"/>
          <w:sz w:val="32"/>
          <w:szCs w:val="32"/>
        </w:rPr>
        <w:t>万元以上，纳入年度财政预算予以保障。用好秦岭生态环境保护专项资金，推进水源涵养、水资源保护、水土保持、生物多样性保护、植被恢复、矿山环境治理等有关秦岭生态环境保护和生态系统检测、维护、修复及其综合管理工作。</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依法统筹相关资金，增加资金投入，创新支持方式，用好涉及生态环境保护、基础设施建设、产业发展等有关专项资金。争取国家和省、市政策和资金支持，因地制宜发展对生态环境有益的特色产业，改善当地人民群众生产生活条件。</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建立多元化投融资机制，拓展秦岭生态环境保护资金捐助、资助方式，鼓励国外资金、社会组织和个人捐助、资助秦岭生态环境保护工作，通过开发信托产品、金融衍生产品等方式引导社会资金投入，支持绿色金融发展。</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用好重点生态功能区转移支付政策，通过资金补助、产业转移、人才培训、园区共建等多种方式，加大水源涵养地生态补偿力度。</w:t>
      </w:r>
    </w:p>
    <w:p>
      <w:pPr>
        <w:spacing w:line="560" w:lineRule="exact"/>
        <w:ind w:firstLine="640" w:firstLineChars="200"/>
        <w:rPr>
          <w:rFonts w:ascii="Times New Roman" w:hAnsi="Times New Roman" w:eastAsia="仿宋_GB2312"/>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197" w:name="_Toc28706"/>
      <w:bookmarkStart w:id="198" w:name="_Toc17683"/>
      <w:bookmarkStart w:id="199" w:name="_Toc26660"/>
      <w:r>
        <w:rPr>
          <w:rFonts w:hint="eastAsia" w:ascii="Times New Roman" w:hAnsi="Times New Roman" w:eastAsia="楷体_GB2312"/>
          <w:b/>
          <w:bCs/>
          <w:color w:val="000000"/>
          <w:sz w:val="32"/>
          <w:szCs w:val="32"/>
        </w:rPr>
        <w:t>第五节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科技支撑</w:t>
      </w:r>
      <w:bookmarkEnd w:id="197"/>
      <w:bookmarkEnd w:id="198"/>
      <w:bookmarkEnd w:id="199"/>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加大先进科技手段在秦岭生态环境保护工作中的应用力度。科技、林业、农业农村、水利、自然资源、生态环境、测绘、气象等行政主管部门应鼓励和支持秦岭生态环境保护的科学研究和科技推广，大力推进大秦岭博物馆、国家气候适应型城市建设重点实验室、秦岭生态监测服务系统示范项目、自然灾害监测预警指挥防御工程等重点项目，促进科技成果应用。</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围绕秦岭保护重点领域的重大科技需求，开展水资源及流域水环境保护、生物多样性保护、重金属污染、矿山生态恢复治理、地质灾害预警研究等重大科技攻关活动以及秦岭腹地水资源、土壤资源有益于大健康产业的化学元素分析，加快形成一批关键技术，有效解决环境监测、治理和修复、绿色发展等方面的技术瓶颈，尽快形成成熟生态修复工艺，提高环境治理水平。</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合理开发空中云水资源，开展生态修复型人工影响天气技术研究与应用，建设人工影响天气作业点、</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中央水塔</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水源涵养区人工影响天气保障工程、云水资源监测评估系统，进一步加强飞机人工增雨作业力度。优化自然资源、应急管理、林业、气象等部门地面监测站网布局，划分重点监测区域，加密监测站点，布设无人值守的称重式雨量监测设备，消除监测盲区，提高监测覆盖率，对自然灾害及其有关要素进行实时监测，建立自然灾害监测预警信息共享和报送制度，健全多部门前后方应急联动机制建设，确保预警响应效果。</w:t>
      </w:r>
    </w:p>
    <w:p>
      <w:pPr>
        <w:spacing w:line="560" w:lineRule="exact"/>
        <w:jc w:val="center"/>
        <w:rPr>
          <w:rFonts w:ascii="Times New Roman" w:hAnsi="Times New Roman" w:eastAsia="楷体_GB2312"/>
          <w:b/>
          <w:bCs/>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200" w:name="_Toc23891"/>
      <w:bookmarkStart w:id="201" w:name="_Toc16256"/>
      <w:bookmarkStart w:id="202" w:name="_Toc23433"/>
      <w:r>
        <w:rPr>
          <w:rFonts w:hint="eastAsia" w:ascii="Times New Roman" w:hAnsi="Times New Roman" w:eastAsia="楷体_GB2312"/>
          <w:b/>
          <w:bCs/>
          <w:color w:val="000000"/>
          <w:sz w:val="32"/>
          <w:szCs w:val="32"/>
        </w:rPr>
        <w:t>第六节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监督考核</w:t>
      </w:r>
      <w:bookmarkEnd w:id="200"/>
      <w:bookmarkEnd w:id="201"/>
      <w:bookmarkEnd w:id="202"/>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考核评估。继续实施秦岭生态环境保护工作年度目标责任考核，科学设置考核指标体系，完善专项考核办法，严格落实领导干部自然资源资产离任审计、生态环境损害责任追究等制度，运用鼓励激励机制，落实保护责任，强化工作举措。用好秦岭生态环境保护监测网络，开展秦岭生态环境系统功能、生物多样性状况、生态保护监管等监测评估。</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网格监管。整合生态环境监督网格员、护林员、巡河员等行业监管力量，建立网格员人员调整、日常巡查、激励奖惩等制度，加大业务能力培训，实现专职专岗、一职多能。秦岭保护管理机构应当配备无人机等必要的监测设备，为网格员配备取证设备、防护用品。利用好省级</w:t>
      </w:r>
      <w:r>
        <w:rPr>
          <w:rFonts w:ascii="Times New Roman" w:hAnsi="Times New Roman" w:eastAsia="仿宋_GB2312"/>
          <w:color w:val="000000"/>
          <w:sz w:val="32"/>
          <w:szCs w:val="32"/>
        </w:rPr>
        <w:t>5G</w:t>
      </w:r>
      <w:r>
        <w:rPr>
          <w:rFonts w:hint="eastAsia" w:ascii="Times New Roman" w:hAnsi="Times New Roman" w:eastAsia="仿宋_GB2312"/>
          <w:color w:val="000000"/>
          <w:sz w:val="32"/>
          <w:szCs w:val="32"/>
        </w:rPr>
        <w:t>通信、人工智能、大数据、卫星遥感、视频监控和地理信息（</w:t>
      </w:r>
      <w:r>
        <w:rPr>
          <w:rFonts w:ascii="Times New Roman" w:hAnsi="Times New Roman" w:eastAsia="仿宋_GB2312"/>
          <w:color w:val="000000"/>
          <w:sz w:val="32"/>
          <w:szCs w:val="32"/>
        </w:rPr>
        <w:t>GIS</w:t>
      </w:r>
      <w:r>
        <w:rPr>
          <w:rFonts w:hint="eastAsia" w:ascii="Times New Roman" w:hAnsi="Times New Roman" w:eastAsia="仿宋_GB2312"/>
          <w:color w:val="000000"/>
          <w:sz w:val="32"/>
          <w:szCs w:val="32"/>
        </w:rPr>
        <w:t>）系统等技术，提高日常监管、督查执法、领导决策的信息化管理能力和水平，推进生态环境保护数字化。</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社会监督。畅通秦岭生态环境保护举报渠道，公布投诉、举报联系方式，完善公众监督和举报反馈机制，方便公众监督。依法对破坏、污染秦岭生态环境的行为，开展公益诉讼等活动。强化舆论监督，及时曝光破坏秦岭生态环境问题、突发环境事件、环境违法行为。</w:t>
      </w:r>
    </w:p>
    <w:p>
      <w:pPr>
        <w:pStyle w:val="2"/>
        <w:spacing w:after="0" w:line="560" w:lineRule="exact"/>
        <w:rPr>
          <w:rFonts w:ascii="Times New Roman" w:hAnsi="Times New Roman"/>
          <w:color w:val="000000"/>
        </w:rPr>
      </w:pPr>
    </w:p>
    <w:p>
      <w:pPr>
        <w:spacing w:line="560" w:lineRule="exact"/>
        <w:jc w:val="center"/>
        <w:outlineLvl w:val="1"/>
        <w:rPr>
          <w:rFonts w:ascii="Times New Roman" w:hAnsi="Times New Roman" w:eastAsia="楷体_GB2312"/>
          <w:b/>
          <w:bCs/>
          <w:color w:val="000000"/>
          <w:sz w:val="32"/>
          <w:szCs w:val="32"/>
        </w:rPr>
      </w:pPr>
      <w:bookmarkStart w:id="203" w:name="_Toc12580"/>
      <w:bookmarkStart w:id="204" w:name="_Toc14284"/>
      <w:bookmarkStart w:id="205" w:name="_Toc9175"/>
      <w:r>
        <w:rPr>
          <w:rFonts w:hint="eastAsia" w:ascii="Times New Roman" w:hAnsi="Times New Roman" w:eastAsia="楷体_GB2312"/>
          <w:b/>
          <w:bCs/>
          <w:color w:val="000000"/>
          <w:sz w:val="32"/>
          <w:szCs w:val="32"/>
        </w:rPr>
        <w:t>第七节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宣传引导</w:t>
      </w:r>
      <w:bookmarkEnd w:id="203"/>
      <w:bookmarkEnd w:id="204"/>
      <w:bookmarkEnd w:id="205"/>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各镇办、各部门应认真学习《条例》、规划、方案及相关政策文件，准确掌握职责权限、业务流程，确保相关法律法规得到全面贯彻实施；充分利用报刊、杂志、广播电视、网络媒体，深入宣传秦岭生态环境保护的重大意义，营造保护秦岭生态环境的良好氛围。</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做好社会宣传，认真开展</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秦岭生态卫士行动日</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六五环境日</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爱鸟周</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国际生物多样性日</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世界野生动植物日</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国际湿地日</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等节日，开展各类宣传活动，常态化开展秦岭生态环境保护</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进机关、进校园、进企业、进社区、进家庭</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五进活动，深入开展</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保护大秦岭青年志愿者活动</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小手拉大手</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等公益志愿活动，提高公众的生态环境保护意识，自觉当好秦岭生态卫士。</w:t>
      </w:r>
    </w:p>
    <w:p>
      <w:pPr>
        <w:spacing w:line="560" w:lineRule="exact"/>
        <w:ind w:firstLine="640" w:firstLineChars="200"/>
        <w:rPr>
          <w:rFonts w:ascii="Times New Roman" w:hAnsi="Times New Roman" w:eastAsia="仿宋_GB2312"/>
          <w:color w:val="000000"/>
          <w:spacing w:val="11"/>
          <w:sz w:val="32"/>
          <w:szCs w:val="32"/>
        </w:rPr>
      </w:pPr>
      <w:r>
        <w:rPr>
          <w:rFonts w:hint="eastAsia" w:ascii="Times New Roman" w:hAnsi="Times New Roman" w:eastAsia="仿宋_GB2312"/>
          <w:color w:val="000000"/>
          <w:sz w:val="32"/>
          <w:szCs w:val="32"/>
        </w:rPr>
        <w:t>有</w:t>
      </w:r>
      <w:r>
        <w:rPr>
          <w:rFonts w:hint="eastAsia" w:ascii="Times New Roman" w:hAnsi="Times New Roman" w:eastAsia="仿宋_GB2312"/>
          <w:color w:val="000000"/>
          <w:spacing w:val="-8"/>
          <w:sz w:val="32"/>
          <w:szCs w:val="32"/>
        </w:rPr>
        <w:t>组织地开展秦</w:t>
      </w:r>
      <w:r>
        <w:rPr>
          <w:rFonts w:hint="eastAsia" w:ascii="Times New Roman" w:hAnsi="Times New Roman" w:eastAsia="仿宋_GB2312"/>
          <w:color w:val="000000"/>
          <w:sz w:val="32"/>
          <w:szCs w:val="32"/>
        </w:rPr>
        <w:t>岭生态环境保护集中宣讲、志愿者行动、巡山巡河、绿化美</w:t>
      </w:r>
      <w:r>
        <w:rPr>
          <w:rFonts w:hint="eastAsia" w:ascii="Times New Roman" w:hAnsi="Times New Roman" w:eastAsia="仿宋_GB2312"/>
          <w:color w:val="000000"/>
          <w:spacing w:val="11"/>
          <w:sz w:val="32"/>
          <w:szCs w:val="32"/>
        </w:rPr>
        <w:t>化、卫生整治、执法检查、生态体验、教学实习、社区共建、绿色营地、国际合作以及图书、影像、挂图资料的编制与传播等活动，使关注秦岭、保护秦岭成为广大群众的自觉行动。</w:t>
      </w:r>
    </w:p>
    <w:p>
      <w:pPr>
        <w:spacing w:line="560" w:lineRule="exact"/>
        <w:ind w:firstLine="640" w:firstLineChars="200"/>
        <w:rPr>
          <w:rFonts w:ascii="Times New Roman" w:hAnsi="Times New Roman" w:eastAsia="仿宋_GB2312"/>
          <w:color w:val="000000"/>
          <w:sz w:val="32"/>
          <w:szCs w:val="32"/>
        </w:rPr>
      </w:pPr>
    </w:p>
    <w:p>
      <w:pPr>
        <w:spacing w:line="560" w:lineRule="exact"/>
        <w:ind w:firstLine="640" w:firstLineChars="200"/>
        <w:rPr>
          <w:rFonts w:ascii="Times New Roman" w:hAnsi="Times New Roman" w:eastAsia="仿宋_GB2312"/>
          <w:spacing w:val="-10"/>
          <w:sz w:val="32"/>
          <w:szCs w:val="32"/>
        </w:rPr>
      </w:pPr>
      <w:bookmarkStart w:id="206" w:name="_Toc10283"/>
      <w:bookmarkStart w:id="207" w:name="_Toc19679"/>
      <w:bookmarkStart w:id="208" w:name="_Toc177"/>
      <w:r>
        <w:rPr>
          <w:rFonts w:hint="eastAsia" w:ascii="Times New Roman" w:hAnsi="Times New Roman" w:eastAsia="仿宋_GB2312"/>
          <w:sz w:val="32"/>
          <w:szCs w:val="32"/>
        </w:rPr>
        <w:t>附件：</w:t>
      </w:r>
      <w:r>
        <w:rPr>
          <w:rFonts w:ascii="Times New Roman" w:hAnsi="Times New Roman" w:eastAsia="仿宋_GB2312"/>
          <w:sz w:val="32"/>
          <w:szCs w:val="32"/>
        </w:rPr>
        <w:t>1</w:t>
      </w:r>
      <w:r>
        <w:rPr>
          <w:rFonts w:ascii="Times New Roman" w:hAnsi="Times New Roman" w:eastAsia="仿宋_GB2312"/>
          <w:spacing w:val="-10"/>
          <w:sz w:val="32"/>
          <w:szCs w:val="32"/>
        </w:rPr>
        <w:t>.</w:t>
      </w:r>
      <w:r>
        <w:rPr>
          <w:rFonts w:hint="eastAsia" w:ascii="Times New Roman" w:hAnsi="Times New Roman" w:eastAsia="仿宋_GB2312"/>
          <w:spacing w:val="-10"/>
          <w:sz w:val="32"/>
          <w:szCs w:val="32"/>
        </w:rPr>
        <w:t>全县秦岭生态环境保护范围村（社区）名单（</w:t>
      </w:r>
      <w:r>
        <w:rPr>
          <w:rFonts w:ascii="Times New Roman" w:hAnsi="Times New Roman" w:eastAsia="仿宋_GB2312"/>
          <w:spacing w:val="-10"/>
          <w:sz w:val="32"/>
          <w:szCs w:val="32"/>
        </w:rPr>
        <w:t>247</w:t>
      </w:r>
      <w:r>
        <w:rPr>
          <w:rFonts w:hint="eastAsia" w:ascii="Times New Roman" w:hAnsi="Times New Roman" w:eastAsia="仿宋_GB2312"/>
          <w:spacing w:val="-10"/>
          <w:sz w:val="32"/>
          <w:szCs w:val="32"/>
        </w:rPr>
        <w:t>个）</w:t>
      </w:r>
      <w:bookmarkEnd w:id="206"/>
      <w:bookmarkEnd w:id="207"/>
      <w:bookmarkEnd w:id="208"/>
    </w:p>
    <w:p>
      <w:pPr>
        <w:spacing w:line="560" w:lineRule="exact"/>
        <w:ind w:firstLine="1600" w:firstLineChars="500"/>
        <w:rPr>
          <w:rFonts w:ascii="Times New Roman" w:hAnsi="Times New Roman" w:eastAsia="仿宋_GB2312"/>
          <w:sz w:val="32"/>
          <w:szCs w:val="32"/>
        </w:rPr>
      </w:pPr>
      <w:bookmarkStart w:id="209" w:name="_Toc6523"/>
      <w:bookmarkStart w:id="210" w:name="_Toc17048"/>
      <w:bookmarkStart w:id="211" w:name="_Toc26755"/>
      <w:r>
        <w:rPr>
          <w:rFonts w:ascii="Times New Roman" w:hAnsi="Times New Roman" w:eastAsia="仿宋_GB2312"/>
          <w:sz w:val="32"/>
          <w:szCs w:val="32"/>
        </w:rPr>
        <w:t>2.</w:t>
      </w:r>
      <w:r>
        <w:rPr>
          <w:rFonts w:hint="eastAsia" w:ascii="Times New Roman" w:hAnsi="Times New Roman" w:eastAsia="仿宋_GB2312"/>
          <w:sz w:val="32"/>
          <w:szCs w:val="32"/>
        </w:rPr>
        <w:t>洛南县秦岭生态环境保护方案分区保护示意图</w:t>
      </w:r>
      <w:bookmarkEnd w:id="209"/>
      <w:bookmarkEnd w:id="210"/>
      <w:bookmarkEnd w:id="211"/>
    </w:p>
    <w:p>
      <w:pPr>
        <w:spacing w:line="560" w:lineRule="exact"/>
        <w:ind w:firstLine="1600" w:firstLineChars="500"/>
        <w:rPr>
          <w:rFonts w:ascii="Times New Roman" w:hAnsi="Times New Roman" w:eastAsia="仿宋_GB2312"/>
          <w:sz w:val="32"/>
          <w:szCs w:val="32"/>
        </w:rPr>
      </w:pPr>
      <w:bookmarkStart w:id="212" w:name="_Toc16249"/>
      <w:bookmarkStart w:id="213" w:name="_Toc2761"/>
      <w:bookmarkStart w:id="214" w:name="_Toc15278"/>
      <w:r>
        <w:rPr>
          <w:rFonts w:ascii="Times New Roman" w:hAnsi="Times New Roman" w:eastAsia="仿宋_GB2312"/>
          <w:sz w:val="32"/>
          <w:szCs w:val="32"/>
        </w:rPr>
        <w:t>3.</w:t>
      </w:r>
      <w:r>
        <w:rPr>
          <w:rFonts w:hint="eastAsia" w:ascii="Times New Roman" w:hAnsi="Times New Roman" w:eastAsia="仿宋_GB2312"/>
          <w:sz w:val="32"/>
          <w:szCs w:val="32"/>
        </w:rPr>
        <w:t>洛南县核心保护区保护示意图</w:t>
      </w:r>
      <w:bookmarkEnd w:id="212"/>
      <w:bookmarkEnd w:id="213"/>
      <w:bookmarkEnd w:id="214"/>
    </w:p>
    <w:p>
      <w:pPr>
        <w:spacing w:line="560" w:lineRule="exact"/>
        <w:ind w:firstLine="1600" w:firstLineChars="500"/>
        <w:rPr>
          <w:rFonts w:ascii="Times New Roman" w:hAnsi="Times New Roman" w:eastAsia="仿宋_GB2312"/>
          <w:sz w:val="32"/>
          <w:szCs w:val="32"/>
        </w:rPr>
        <w:sectPr>
          <w:pgSz w:w="11906" w:h="16838"/>
          <w:pgMar w:top="1984" w:right="1531" w:bottom="1587" w:left="1531" w:header="851" w:footer="1247" w:gutter="0"/>
          <w:pgNumType w:fmt="numberInDash"/>
          <w:cols w:space="425" w:num="1"/>
          <w:docGrid w:type="lines" w:linePitch="315" w:charSpace="0"/>
        </w:sectPr>
      </w:pPr>
      <w:bookmarkStart w:id="215" w:name="_Toc10337"/>
      <w:bookmarkStart w:id="216" w:name="_Toc698"/>
      <w:bookmarkStart w:id="217" w:name="_Toc27610"/>
      <w:r>
        <w:rPr>
          <w:rFonts w:ascii="Times New Roman" w:hAnsi="Times New Roman" w:eastAsia="仿宋_GB2312"/>
          <w:sz w:val="32"/>
          <w:szCs w:val="32"/>
        </w:rPr>
        <w:t>4.</w:t>
      </w:r>
      <w:r>
        <w:rPr>
          <w:rFonts w:hint="eastAsia" w:ascii="Times New Roman" w:hAnsi="Times New Roman" w:eastAsia="仿宋_GB2312"/>
          <w:sz w:val="32"/>
          <w:szCs w:val="32"/>
        </w:rPr>
        <w:t>洛南县重点保护区保护示意图</w:t>
      </w:r>
      <w:bookmarkEnd w:id="215"/>
      <w:bookmarkEnd w:id="216"/>
      <w:bookmarkEnd w:id="217"/>
    </w:p>
    <w:p>
      <w:pPr>
        <w:spacing w:line="560" w:lineRule="exact"/>
        <w:rPr>
          <w:rFonts w:ascii="Times New Roman" w:hAnsi="Times New Roman" w:eastAsia="黑体"/>
          <w:color w:val="000000"/>
          <w:sz w:val="32"/>
          <w:szCs w:val="32"/>
        </w:rPr>
      </w:pPr>
      <w:r>
        <w:rPr>
          <w:rFonts w:hint="eastAsia" w:ascii="Times New Roman" w:hAnsi="Times New Roman" w:eastAsia="黑体"/>
          <w:color w:val="000000"/>
          <w:sz w:val="32"/>
          <w:szCs w:val="32"/>
        </w:rPr>
        <w:t>附件</w:t>
      </w:r>
      <w:r>
        <w:rPr>
          <w:rFonts w:ascii="Times New Roman" w:hAnsi="Times New Roman" w:eastAsia="黑体"/>
          <w:color w:val="000000"/>
          <w:sz w:val="32"/>
          <w:szCs w:val="32"/>
        </w:rPr>
        <w:t>1</w:t>
      </w:r>
    </w:p>
    <w:p>
      <w:pPr>
        <w:spacing w:line="560" w:lineRule="exact"/>
        <w:jc w:val="center"/>
        <w:rPr>
          <w:rFonts w:ascii="Times New Roman" w:hAnsi="Times New Roman" w:eastAsia="方正小标宋简体"/>
          <w:b/>
          <w:color w:val="000000"/>
          <w:sz w:val="44"/>
          <w:szCs w:val="44"/>
        </w:rPr>
      </w:pPr>
      <w:r>
        <w:rPr>
          <w:rFonts w:hint="eastAsia" w:ascii="Times New Roman" w:hAnsi="Times New Roman" w:eastAsia="方正小标宋简体"/>
          <w:b/>
          <w:color w:val="000000"/>
          <w:sz w:val="44"/>
          <w:szCs w:val="44"/>
        </w:rPr>
        <w:t>全县秦岭生态环境保护范围村（社区）名单（</w:t>
      </w:r>
      <w:r>
        <w:rPr>
          <w:rFonts w:ascii="Times New Roman" w:hAnsi="Times New Roman" w:eastAsia="方正小标宋简体"/>
          <w:b/>
          <w:color w:val="000000"/>
          <w:sz w:val="44"/>
          <w:szCs w:val="44"/>
        </w:rPr>
        <w:t>247</w:t>
      </w:r>
      <w:r>
        <w:rPr>
          <w:rFonts w:hint="eastAsia" w:ascii="Times New Roman" w:hAnsi="Times New Roman" w:eastAsia="方正小标宋简体"/>
          <w:b/>
          <w:color w:val="000000"/>
          <w:sz w:val="44"/>
          <w:szCs w:val="44"/>
        </w:rPr>
        <w:t>个）</w:t>
      </w:r>
    </w:p>
    <w:p>
      <w:pPr>
        <w:pStyle w:val="2"/>
        <w:spacing w:after="0" w:line="240" w:lineRule="exact"/>
        <w:rPr>
          <w:rFonts w:ascii="Times New Roman" w:hAnsi="Times New Roman"/>
        </w:rPr>
      </w:pPr>
    </w:p>
    <w:tbl>
      <w:tblPr>
        <w:tblStyle w:val="7"/>
        <w:tblW w:w="1399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83"/>
        <w:gridCol w:w="114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tblHeader/>
          <w:jc w:val="center"/>
        </w:trPr>
        <w:tc>
          <w:tcPr>
            <w:tcW w:w="2583" w:type="dxa"/>
            <w:vAlign w:val="center"/>
          </w:tcPr>
          <w:p>
            <w:pPr>
              <w:jc w:val="center"/>
              <w:rPr>
                <w:rFonts w:ascii="Times New Roman" w:hAnsi="Times New Roman" w:eastAsia="仿宋_GB2312"/>
                <w:b/>
                <w:color w:val="000000"/>
                <w:w w:val="90"/>
                <w:sz w:val="24"/>
              </w:rPr>
            </w:pPr>
            <w:r>
              <w:rPr>
                <w:rFonts w:hint="eastAsia" w:ascii="Times New Roman" w:hAnsi="Times New Roman" w:eastAsia="仿宋_GB2312"/>
                <w:b/>
                <w:color w:val="000000"/>
                <w:w w:val="90"/>
                <w:sz w:val="24"/>
              </w:rPr>
              <w:t>镇（办）名称</w:t>
            </w:r>
          </w:p>
        </w:tc>
        <w:tc>
          <w:tcPr>
            <w:tcW w:w="11409" w:type="dxa"/>
            <w:vAlign w:val="center"/>
          </w:tcPr>
          <w:p>
            <w:pPr>
              <w:jc w:val="center"/>
              <w:rPr>
                <w:rFonts w:ascii="Times New Roman" w:hAnsi="Times New Roman" w:eastAsia="仿宋_GB2312"/>
                <w:b/>
                <w:color w:val="000000"/>
                <w:w w:val="90"/>
                <w:sz w:val="24"/>
              </w:rPr>
            </w:pPr>
            <w:r>
              <w:rPr>
                <w:rFonts w:hint="eastAsia" w:ascii="Times New Roman" w:hAnsi="Times New Roman" w:eastAsia="仿宋_GB2312"/>
                <w:b/>
                <w:color w:val="000000"/>
                <w:w w:val="90"/>
                <w:sz w:val="24"/>
              </w:rPr>
              <w:t>村（社区）名称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4" w:hRule="atLeast"/>
          <w:jc w:val="center"/>
        </w:trPr>
        <w:tc>
          <w:tcPr>
            <w:tcW w:w="2583" w:type="dxa"/>
            <w:vAlign w:val="center"/>
          </w:tcPr>
          <w:p>
            <w:pPr>
              <w:numPr>
                <w:ilvl w:val="0"/>
                <w:numId w:val="2"/>
              </w:numPr>
              <w:rPr>
                <w:rFonts w:ascii="Times New Roman" w:hAnsi="Times New Roman" w:eastAsia="仿宋_GB2312"/>
                <w:color w:val="000000"/>
                <w:spacing w:val="-6"/>
                <w:sz w:val="22"/>
                <w:szCs w:val="22"/>
              </w:rPr>
            </w:pPr>
            <w:r>
              <w:rPr>
                <w:rFonts w:hint="eastAsia" w:ascii="Times New Roman" w:hAnsi="Times New Roman" w:eastAsia="仿宋_GB2312"/>
                <w:color w:val="000000"/>
                <w:sz w:val="22"/>
                <w:szCs w:val="22"/>
              </w:rPr>
              <w:t>城</w:t>
            </w:r>
            <w:r>
              <w:rPr>
                <w:rFonts w:hint="eastAsia" w:ascii="Times New Roman" w:hAnsi="Times New Roman" w:eastAsia="仿宋_GB2312"/>
                <w:color w:val="000000"/>
                <w:spacing w:val="-6"/>
                <w:sz w:val="22"/>
                <w:szCs w:val="22"/>
              </w:rPr>
              <w:t>关街办</w:t>
            </w:r>
          </w:p>
          <w:p>
            <w:pPr>
              <w:rPr>
                <w:rFonts w:ascii="Times New Roman" w:hAnsi="Times New Roman" w:eastAsia="仿宋_GB2312"/>
                <w:b/>
                <w:color w:val="000000"/>
                <w:w w:val="90"/>
                <w:sz w:val="24"/>
              </w:rPr>
            </w:pPr>
            <w:r>
              <w:rPr>
                <w:rFonts w:hint="eastAsia" w:ascii="Times New Roman" w:hAnsi="Times New Roman" w:eastAsia="仿宋_GB2312"/>
                <w:color w:val="000000"/>
                <w:spacing w:val="-6"/>
                <w:sz w:val="22"/>
                <w:szCs w:val="22"/>
              </w:rPr>
              <w:t>（</w:t>
            </w:r>
            <w:r>
              <w:rPr>
                <w:rFonts w:ascii="Times New Roman" w:hAnsi="Times New Roman" w:eastAsia="仿宋_GB2312"/>
                <w:color w:val="000000"/>
                <w:spacing w:val="-6"/>
                <w:sz w:val="22"/>
                <w:szCs w:val="22"/>
              </w:rPr>
              <w:t>12</w:t>
            </w:r>
            <w:r>
              <w:rPr>
                <w:rFonts w:hint="eastAsia" w:ascii="Times New Roman" w:hAnsi="Times New Roman" w:eastAsia="仿宋_GB2312"/>
                <w:color w:val="000000"/>
                <w:spacing w:val="-6"/>
                <w:sz w:val="22"/>
                <w:szCs w:val="22"/>
              </w:rPr>
              <w:t>个社区</w:t>
            </w:r>
            <w:r>
              <w:rPr>
                <w:rFonts w:ascii="Times New Roman" w:hAnsi="Times New Roman" w:eastAsia="仿宋_GB2312"/>
                <w:color w:val="000000"/>
                <w:spacing w:val="-6"/>
                <w:sz w:val="22"/>
                <w:szCs w:val="22"/>
              </w:rPr>
              <w:t>22</w:t>
            </w:r>
            <w:r>
              <w:rPr>
                <w:rFonts w:hint="eastAsia" w:ascii="Times New Roman" w:hAnsi="Times New Roman" w:eastAsia="仿宋_GB2312"/>
                <w:color w:val="000000"/>
                <w:spacing w:val="-6"/>
                <w:sz w:val="22"/>
                <w:szCs w:val="22"/>
              </w:rPr>
              <w:t>个村）</w:t>
            </w:r>
          </w:p>
        </w:tc>
        <w:tc>
          <w:tcPr>
            <w:tcW w:w="11409" w:type="dxa"/>
            <w:vAlign w:val="center"/>
          </w:tcPr>
          <w:p>
            <w:pPr>
              <w:jc w:val="left"/>
              <w:rPr>
                <w:rFonts w:ascii="Times New Roman" w:hAnsi="Times New Roman" w:eastAsia="仿宋_GB2312"/>
                <w:b/>
                <w:color w:val="000000"/>
                <w:w w:val="90"/>
                <w:sz w:val="24"/>
              </w:rPr>
            </w:pPr>
            <w:r>
              <w:rPr>
                <w:rFonts w:hint="eastAsia" w:ascii="Times New Roman" w:hAnsi="Times New Roman" w:eastAsia="仿宋_GB2312"/>
                <w:color w:val="000000"/>
                <w:spacing w:val="-6"/>
                <w:sz w:val="22"/>
                <w:szCs w:val="22"/>
              </w:rPr>
              <w:t>柏槐社区、西街社区、西寺社区、杨川社区、南关社区、东街社区、陶川社区、刘涧社区、栖凤湾社区、陶岭社区、栲树洼社区、野里社区、馒头山村、周村、窑底村、孙沟村、七岔口村、王院村、罗坡村、薛村村、窄口村、唐村村</w:t>
            </w:r>
            <w:r>
              <w:rPr>
                <w:rFonts w:hint="eastAsia" w:ascii="Times New Roman" w:hAnsi="Times New Roman" w:eastAsia="仿宋_GB2312"/>
                <w:color w:val="000000"/>
                <w:sz w:val="22"/>
                <w:szCs w:val="22"/>
              </w:rPr>
              <w:t>、小河村、腰庄村、石塬村、邢塬村、刘湾村、王塬村、尖角村、王滩村、庵底村、樊湾社区、城北社区、八里社区。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83" w:type="dxa"/>
            <w:vAlign w:val="center"/>
          </w:tcPr>
          <w:p>
            <w:pPr>
              <w:numPr>
                <w:ilvl w:val="0"/>
                <w:numId w:val="2"/>
              </w:numPr>
              <w:rPr>
                <w:rFonts w:ascii="Times New Roman" w:hAnsi="Times New Roman" w:eastAsia="仿宋_GB2312"/>
                <w:color w:val="000000"/>
                <w:sz w:val="22"/>
                <w:szCs w:val="22"/>
              </w:rPr>
            </w:pPr>
            <w:r>
              <w:rPr>
                <w:rFonts w:hint="eastAsia" w:ascii="Times New Roman" w:hAnsi="Times New Roman" w:eastAsia="仿宋_GB2312"/>
                <w:color w:val="000000"/>
                <w:sz w:val="22"/>
                <w:szCs w:val="22"/>
              </w:rPr>
              <w:t>四皓街办</w:t>
            </w:r>
          </w:p>
          <w:p>
            <w:pPr>
              <w:rPr>
                <w:rFonts w:ascii="Times New Roman" w:hAnsi="Times New Roman" w:eastAsia="仿宋_GB2312"/>
                <w:b/>
                <w:color w:val="000000"/>
                <w:w w:val="90"/>
                <w:sz w:val="24"/>
              </w:rPr>
            </w:pPr>
            <w:r>
              <w:rPr>
                <w:rFonts w:hint="eastAsia" w:ascii="Times New Roman" w:hAnsi="Times New Roman" w:eastAsia="仿宋_GB2312"/>
                <w:color w:val="000000"/>
                <w:sz w:val="22"/>
                <w:szCs w:val="22"/>
              </w:rPr>
              <w:t>（</w:t>
            </w:r>
            <w:r>
              <w:rPr>
                <w:rFonts w:ascii="Times New Roman" w:hAnsi="Times New Roman" w:eastAsia="仿宋_GB2312"/>
                <w:color w:val="000000"/>
                <w:sz w:val="22"/>
                <w:szCs w:val="22"/>
              </w:rPr>
              <w:t>7</w:t>
            </w:r>
            <w:r>
              <w:rPr>
                <w:rFonts w:hint="eastAsia" w:ascii="Times New Roman" w:hAnsi="Times New Roman" w:eastAsia="仿宋_GB2312"/>
                <w:color w:val="000000"/>
                <w:sz w:val="22"/>
                <w:szCs w:val="22"/>
              </w:rPr>
              <w:t>个社区</w:t>
            </w:r>
            <w:r>
              <w:rPr>
                <w:rFonts w:ascii="Times New Roman" w:hAnsi="Times New Roman" w:eastAsia="仿宋_GB2312"/>
                <w:color w:val="000000"/>
                <w:sz w:val="22"/>
                <w:szCs w:val="22"/>
              </w:rPr>
              <w:t>12</w:t>
            </w:r>
            <w:r>
              <w:rPr>
                <w:rFonts w:hint="eastAsia" w:ascii="Times New Roman" w:hAnsi="Times New Roman" w:eastAsia="仿宋_GB2312"/>
                <w:color w:val="000000"/>
                <w:sz w:val="22"/>
                <w:szCs w:val="22"/>
              </w:rPr>
              <w:t>个村）</w:t>
            </w:r>
          </w:p>
        </w:tc>
        <w:tc>
          <w:tcPr>
            <w:tcW w:w="11409" w:type="dxa"/>
            <w:vAlign w:val="center"/>
          </w:tcPr>
          <w:p>
            <w:pPr>
              <w:adjustRightInd w:val="0"/>
              <w:snapToGrid w:val="0"/>
              <w:spacing w:line="360" w:lineRule="exact"/>
              <w:rPr>
                <w:rFonts w:ascii="Times New Roman" w:hAnsi="Times New Roman" w:eastAsia="仿宋_GB2312"/>
                <w:b/>
                <w:color w:val="000000"/>
                <w:w w:val="90"/>
                <w:sz w:val="24"/>
              </w:rPr>
            </w:pPr>
            <w:r>
              <w:rPr>
                <w:rFonts w:hint="eastAsia" w:ascii="Times New Roman" w:hAnsi="Times New Roman" w:eastAsia="仿宋_GB2312"/>
                <w:color w:val="000000"/>
                <w:sz w:val="22"/>
                <w:szCs w:val="22"/>
              </w:rPr>
              <w:t>阳光庭院社区、代塬社区、白川社区、小渠社区、南沟社区、柳林社区、抚龙湾社区、杨底村、桃官坪村、党沟村、马河村、柴峪村、连河村、营房村、韩村村、闫沟村、药王村、中心村、柳树洼村。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83" w:type="dxa"/>
            <w:vAlign w:val="center"/>
          </w:tcPr>
          <w:p>
            <w:pPr>
              <w:numPr>
                <w:ilvl w:val="0"/>
                <w:numId w:val="2"/>
              </w:numPr>
              <w:rPr>
                <w:rFonts w:ascii="Times New Roman" w:hAnsi="Times New Roman" w:eastAsia="仿宋_GB2312"/>
                <w:color w:val="000000"/>
                <w:sz w:val="22"/>
                <w:szCs w:val="22"/>
              </w:rPr>
            </w:pPr>
            <w:r>
              <w:rPr>
                <w:rFonts w:hint="eastAsia" w:ascii="Times New Roman" w:hAnsi="Times New Roman" w:eastAsia="仿宋_GB2312"/>
                <w:color w:val="000000"/>
                <w:sz w:val="22"/>
                <w:szCs w:val="22"/>
              </w:rPr>
              <w:t>景村镇</w:t>
            </w:r>
          </w:p>
          <w:p>
            <w:pPr>
              <w:rPr>
                <w:rFonts w:ascii="Times New Roman" w:hAnsi="Times New Roman" w:eastAsia="仿宋_GB2312"/>
                <w:b/>
                <w:color w:val="000000"/>
                <w:w w:val="90"/>
                <w:sz w:val="24"/>
              </w:rPr>
            </w:pPr>
            <w:r>
              <w:rPr>
                <w:rFonts w:hint="eastAsia" w:ascii="Times New Roman" w:hAnsi="Times New Roman" w:eastAsia="仿宋_GB2312"/>
                <w:color w:val="000000"/>
                <w:sz w:val="22"/>
                <w:szCs w:val="22"/>
              </w:rPr>
              <w:t>（</w:t>
            </w:r>
            <w:r>
              <w:rPr>
                <w:rFonts w:ascii="Times New Roman" w:hAnsi="Times New Roman" w:eastAsia="仿宋_GB2312"/>
                <w:color w:val="000000"/>
                <w:sz w:val="22"/>
                <w:szCs w:val="22"/>
              </w:rPr>
              <w:t>1</w:t>
            </w:r>
            <w:r>
              <w:rPr>
                <w:rFonts w:hint="eastAsia" w:ascii="Times New Roman" w:hAnsi="Times New Roman" w:eastAsia="仿宋_GB2312"/>
                <w:color w:val="000000"/>
                <w:sz w:val="22"/>
                <w:szCs w:val="22"/>
              </w:rPr>
              <w:t>个社区</w:t>
            </w:r>
            <w:r>
              <w:rPr>
                <w:rFonts w:ascii="Times New Roman" w:hAnsi="Times New Roman" w:eastAsia="仿宋_GB2312"/>
                <w:color w:val="000000"/>
                <w:sz w:val="22"/>
                <w:szCs w:val="22"/>
              </w:rPr>
              <w:t>24</w:t>
            </w:r>
            <w:r>
              <w:rPr>
                <w:rFonts w:hint="eastAsia" w:ascii="Times New Roman" w:hAnsi="Times New Roman" w:eastAsia="仿宋_GB2312"/>
                <w:color w:val="000000"/>
                <w:sz w:val="22"/>
                <w:szCs w:val="22"/>
              </w:rPr>
              <w:t>个村）</w:t>
            </w:r>
          </w:p>
        </w:tc>
        <w:tc>
          <w:tcPr>
            <w:tcW w:w="11409" w:type="dxa"/>
            <w:vAlign w:val="center"/>
          </w:tcPr>
          <w:p>
            <w:pPr>
              <w:adjustRightInd w:val="0"/>
              <w:snapToGrid w:val="0"/>
              <w:spacing w:line="360" w:lineRule="exact"/>
              <w:rPr>
                <w:rFonts w:ascii="Times New Roman" w:hAnsi="Times New Roman" w:eastAsia="仿宋_GB2312"/>
                <w:b/>
                <w:color w:val="000000"/>
                <w:w w:val="90"/>
                <w:sz w:val="24"/>
              </w:rPr>
            </w:pPr>
            <w:r>
              <w:rPr>
                <w:rFonts w:hint="eastAsia" w:ascii="Times New Roman" w:hAnsi="Times New Roman" w:eastAsia="仿宋_GB2312"/>
                <w:color w:val="000000"/>
                <w:sz w:val="22"/>
                <w:szCs w:val="22"/>
              </w:rPr>
              <w:t>景村街社区、韩湾村、车塬村、灵官庙村、光明村、御史村、高河村、明星村、沙坪村、王涧村、丰中村、杨坪村、何沟村、齐坡村、下涧村、八一村、常湾村、兑山村、上岭村、盈丰村、景兴村、景丰村、脱岭村、建兴村、板桥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83" w:type="dxa"/>
            <w:vAlign w:val="center"/>
          </w:tcPr>
          <w:p>
            <w:pPr>
              <w:numPr>
                <w:ilvl w:val="0"/>
                <w:numId w:val="2"/>
              </w:numPr>
              <w:rPr>
                <w:rFonts w:ascii="Times New Roman" w:hAnsi="Times New Roman" w:eastAsia="仿宋_GB2312"/>
                <w:color w:val="000000"/>
                <w:sz w:val="22"/>
                <w:szCs w:val="22"/>
              </w:rPr>
            </w:pPr>
            <w:r>
              <w:rPr>
                <w:rFonts w:hint="eastAsia" w:ascii="Times New Roman" w:hAnsi="Times New Roman" w:eastAsia="仿宋_GB2312"/>
                <w:color w:val="000000"/>
                <w:sz w:val="22"/>
                <w:szCs w:val="22"/>
              </w:rPr>
              <w:t>柏峪寺镇</w:t>
            </w:r>
          </w:p>
          <w:p>
            <w:pPr>
              <w:rPr>
                <w:rFonts w:ascii="Times New Roman" w:hAnsi="Times New Roman" w:eastAsia="仿宋_GB2312"/>
                <w:b/>
                <w:color w:val="000000"/>
                <w:w w:val="90"/>
                <w:sz w:val="24"/>
              </w:rPr>
            </w:pPr>
            <w:r>
              <w:rPr>
                <w:rFonts w:hint="eastAsia" w:ascii="Times New Roman" w:hAnsi="Times New Roman" w:eastAsia="仿宋_GB2312"/>
                <w:color w:val="000000"/>
                <w:sz w:val="22"/>
                <w:szCs w:val="22"/>
              </w:rPr>
              <w:t>（</w:t>
            </w:r>
            <w:r>
              <w:rPr>
                <w:rFonts w:ascii="Times New Roman" w:hAnsi="Times New Roman" w:eastAsia="仿宋_GB2312"/>
                <w:color w:val="000000"/>
                <w:sz w:val="22"/>
                <w:szCs w:val="22"/>
              </w:rPr>
              <w:t>1</w:t>
            </w:r>
            <w:r>
              <w:rPr>
                <w:rFonts w:hint="eastAsia" w:ascii="Times New Roman" w:hAnsi="Times New Roman" w:eastAsia="仿宋_GB2312"/>
                <w:color w:val="000000"/>
                <w:sz w:val="22"/>
                <w:szCs w:val="22"/>
              </w:rPr>
              <w:t>个社区</w:t>
            </w:r>
            <w:r>
              <w:rPr>
                <w:rFonts w:ascii="Times New Roman" w:hAnsi="Times New Roman" w:eastAsia="仿宋_GB2312"/>
                <w:color w:val="000000"/>
                <w:sz w:val="22"/>
                <w:szCs w:val="22"/>
              </w:rPr>
              <w:t>9</w:t>
            </w:r>
            <w:r>
              <w:rPr>
                <w:rFonts w:hint="eastAsia" w:ascii="Times New Roman" w:hAnsi="Times New Roman" w:eastAsia="仿宋_GB2312"/>
                <w:color w:val="000000"/>
                <w:sz w:val="22"/>
                <w:szCs w:val="22"/>
              </w:rPr>
              <w:t>个村）</w:t>
            </w:r>
          </w:p>
        </w:tc>
        <w:tc>
          <w:tcPr>
            <w:tcW w:w="11409" w:type="dxa"/>
            <w:vAlign w:val="center"/>
          </w:tcPr>
          <w:p>
            <w:pPr>
              <w:adjustRightInd w:val="0"/>
              <w:snapToGrid w:val="0"/>
              <w:spacing w:line="360" w:lineRule="exact"/>
              <w:rPr>
                <w:rFonts w:ascii="Times New Roman" w:hAnsi="Times New Roman" w:eastAsia="仿宋_GB2312"/>
                <w:b/>
                <w:color w:val="000000"/>
                <w:w w:val="90"/>
                <w:sz w:val="24"/>
              </w:rPr>
            </w:pPr>
            <w:r>
              <w:rPr>
                <w:rFonts w:hint="eastAsia" w:ascii="Times New Roman" w:hAnsi="Times New Roman" w:eastAsia="仿宋_GB2312"/>
                <w:color w:val="000000"/>
                <w:sz w:val="22"/>
                <w:szCs w:val="22"/>
              </w:rPr>
              <w:t>柏峪寺街社区、关帝庙村、前河村、薛湾村、王塬村、薛楼村、联合村、坡底村、茶房村、庙坪村。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83" w:type="dxa"/>
            <w:vAlign w:val="center"/>
          </w:tcPr>
          <w:p>
            <w:pPr>
              <w:numPr>
                <w:ilvl w:val="0"/>
                <w:numId w:val="2"/>
              </w:numPr>
              <w:rPr>
                <w:rFonts w:ascii="Times New Roman" w:hAnsi="Times New Roman" w:eastAsia="仿宋_GB2312"/>
                <w:color w:val="000000"/>
                <w:sz w:val="22"/>
                <w:szCs w:val="22"/>
              </w:rPr>
            </w:pPr>
            <w:r>
              <w:rPr>
                <w:rFonts w:hint="eastAsia" w:ascii="Times New Roman" w:hAnsi="Times New Roman" w:eastAsia="仿宋_GB2312"/>
                <w:color w:val="000000"/>
                <w:sz w:val="22"/>
                <w:szCs w:val="22"/>
              </w:rPr>
              <w:t>古城镇</w:t>
            </w:r>
          </w:p>
          <w:p>
            <w:pPr>
              <w:rPr>
                <w:rFonts w:ascii="Times New Roman" w:hAnsi="Times New Roman" w:eastAsia="仿宋_GB2312"/>
                <w:b/>
                <w:color w:val="000000"/>
                <w:w w:val="90"/>
                <w:sz w:val="24"/>
              </w:rPr>
            </w:pPr>
            <w:r>
              <w:rPr>
                <w:rFonts w:hint="eastAsia" w:ascii="Times New Roman" w:hAnsi="Times New Roman" w:eastAsia="仿宋_GB2312"/>
                <w:color w:val="000000"/>
                <w:sz w:val="22"/>
                <w:szCs w:val="22"/>
              </w:rPr>
              <w:t>（</w:t>
            </w:r>
            <w:r>
              <w:rPr>
                <w:rFonts w:ascii="Times New Roman" w:hAnsi="Times New Roman" w:eastAsia="仿宋_GB2312"/>
                <w:color w:val="000000"/>
                <w:sz w:val="22"/>
                <w:szCs w:val="22"/>
              </w:rPr>
              <w:t>3</w:t>
            </w:r>
            <w:r>
              <w:rPr>
                <w:rFonts w:hint="eastAsia" w:ascii="Times New Roman" w:hAnsi="Times New Roman" w:eastAsia="仿宋_GB2312"/>
                <w:color w:val="000000"/>
                <w:sz w:val="22"/>
                <w:szCs w:val="22"/>
              </w:rPr>
              <w:t>个社区</w:t>
            </w:r>
            <w:r>
              <w:rPr>
                <w:rFonts w:ascii="Times New Roman" w:hAnsi="Times New Roman" w:eastAsia="仿宋_GB2312"/>
                <w:color w:val="000000"/>
                <w:sz w:val="22"/>
                <w:szCs w:val="22"/>
              </w:rPr>
              <w:t>18</w:t>
            </w:r>
            <w:r>
              <w:rPr>
                <w:rFonts w:hint="eastAsia" w:ascii="Times New Roman" w:hAnsi="Times New Roman" w:eastAsia="仿宋_GB2312"/>
                <w:color w:val="000000"/>
                <w:sz w:val="22"/>
                <w:szCs w:val="22"/>
              </w:rPr>
              <w:t>个村）</w:t>
            </w:r>
          </w:p>
        </w:tc>
        <w:tc>
          <w:tcPr>
            <w:tcW w:w="11409" w:type="dxa"/>
            <w:vAlign w:val="center"/>
          </w:tcPr>
          <w:p>
            <w:pPr>
              <w:adjustRightInd w:val="0"/>
              <w:snapToGrid w:val="0"/>
              <w:spacing w:line="360" w:lineRule="exact"/>
              <w:rPr>
                <w:rFonts w:ascii="Times New Roman" w:hAnsi="Times New Roman" w:eastAsia="仿宋_GB2312"/>
                <w:b/>
                <w:color w:val="000000"/>
                <w:w w:val="90"/>
                <w:sz w:val="24"/>
              </w:rPr>
            </w:pPr>
            <w:r>
              <w:rPr>
                <w:rFonts w:hint="eastAsia" w:ascii="Times New Roman" w:hAnsi="Times New Roman" w:eastAsia="仿宋_GB2312"/>
                <w:color w:val="000000"/>
                <w:sz w:val="22"/>
                <w:szCs w:val="22"/>
              </w:rPr>
              <w:t>古城街社区、古城镇移民新区社区、寺坡街社区、李庙村、红旗村、王村、姜村、草店村、谢底村、四联村、寨子村、后庙沟村、页山河村、南村、庵口村、马连滩村、何村、周岭村、中联村、高塬村、中山村。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4" w:hRule="atLeast"/>
          <w:jc w:val="center"/>
        </w:trPr>
        <w:tc>
          <w:tcPr>
            <w:tcW w:w="2583" w:type="dxa"/>
            <w:vAlign w:val="center"/>
          </w:tcPr>
          <w:p>
            <w:pPr>
              <w:numPr>
                <w:ilvl w:val="0"/>
                <w:numId w:val="2"/>
              </w:numPr>
              <w:rPr>
                <w:rFonts w:ascii="Times New Roman" w:hAnsi="Times New Roman" w:eastAsia="仿宋_GB2312"/>
                <w:color w:val="000000"/>
                <w:sz w:val="22"/>
                <w:szCs w:val="22"/>
              </w:rPr>
            </w:pPr>
            <w:r>
              <w:rPr>
                <w:rFonts w:hint="eastAsia" w:ascii="Times New Roman" w:hAnsi="Times New Roman" w:eastAsia="仿宋_GB2312"/>
                <w:color w:val="000000"/>
                <w:sz w:val="22"/>
                <w:szCs w:val="22"/>
              </w:rPr>
              <w:t>三要镇</w:t>
            </w:r>
          </w:p>
          <w:p>
            <w:pPr>
              <w:rPr>
                <w:rFonts w:ascii="Times New Roman" w:hAnsi="Times New Roman" w:eastAsia="仿宋_GB2312"/>
                <w:b/>
                <w:color w:val="000000"/>
                <w:w w:val="90"/>
                <w:sz w:val="24"/>
              </w:rPr>
            </w:pPr>
            <w:r>
              <w:rPr>
                <w:rFonts w:hint="eastAsia" w:ascii="Times New Roman" w:hAnsi="Times New Roman" w:eastAsia="仿宋_GB2312"/>
                <w:color w:val="000000"/>
                <w:sz w:val="22"/>
                <w:szCs w:val="22"/>
              </w:rPr>
              <w:t>（</w:t>
            </w:r>
            <w:r>
              <w:rPr>
                <w:rFonts w:ascii="Times New Roman" w:hAnsi="Times New Roman" w:eastAsia="仿宋_GB2312"/>
                <w:color w:val="000000"/>
                <w:sz w:val="22"/>
                <w:szCs w:val="22"/>
              </w:rPr>
              <w:t>1</w:t>
            </w:r>
            <w:r>
              <w:rPr>
                <w:rFonts w:hint="eastAsia" w:ascii="Times New Roman" w:hAnsi="Times New Roman" w:eastAsia="仿宋_GB2312"/>
                <w:color w:val="000000"/>
                <w:sz w:val="22"/>
                <w:szCs w:val="22"/>
              </w:rPr>
              <w:t>个社区</w:t>
            </w:r>
            <w:r>
              <w:rPr>
                <w:rFonts w:ascii="Times New Roman" w:hAnsi="Times New Roman" w:eastAsia="仿宋_GB2312"/>
                <w:color w:val="000000"/>
                <w:sz w:val="22"/>
                <w:szCs w:val="22"/>
              </w:rPr>
              <w:t>9</w:t>
            </w:r>
            <w:r>
              <w:rPr>
                <w:rFonts w:hint="eastAsia" w:ascii="Times New Roman" w:hAnsi="Times New Roman" w:eastAsia="仿宋_GB2312"/>
                <w:color w:val="000000"/>
                <w:sz w:val="22"/>
                <w:szCs w:val="22"/>
              </w:rPr>
              <w:t>个村）</w:t>
            </w:r>
          </w:p>
        </w:tc>
        <w:tc>
          <w:tcPr>
            <w:tcW w:w="11409" w:type="dxa"/>
            <w:vAlign w:val="center"/>
          </w:tcPr>
          <w:p>
            <w:pPr>
              <w:adjustRightInd w:val="0"/>
              <w:snapToGrid w:val="0"/>
              <w:spacing w:line="360" w:lineRule="exact"/>
              <w:rPr>
                <w:rFonts w:ascii="Times New Roman" w:hAnsi="Times New Roman" w:eastAsia="仿宋_GB2312"/>
                <w:b/>
                <w:color w:val="000000"/>
                <w:w w:val="90"/>
                <w:sz w:val="24"/>
              </w:rPr>
            </w:pPr>
            <w:r>
              <w:rPr>
                <w:rFonts w:hint="eastAsia" w:ascii="Times New Roman" w:hAnsi="Times New Roman" w:eastAsia="仿宋_GB2312"/>
                <w:color w:val="000000"/>
                <w:sz w:val="22"/>
                <w:szCs w:val="22"/>
              </w:rPr>
              <w:t>三要街社区、永坪村、杨村村、龙山村、杨川村、话庙村、北司村、罗村村、沙河川村、叶河村。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3" w:hRule="atLeast"/>
          <w:jc w:val="center"/>
        </w:trPr>
        <w:tc>
          <w:tcPr>
            <w:tcW w:w="2583" w:type="dxa"/>
            <w:vAlign w:val="center"/>
          </w:tcPr>
          <w:p>
            <w:pPr>
              <w:numPr>
                <w:ilvl w:val="0"/>
                <w:numId w:val="2"/>
              </w:numPr>
              <w:rPr>
                <w:rFonts w:ascii="Times New Roman" w:hAnsi="Times New Roman" w:eastAsia="仿宋_GB2312"/>
                <w:b/>
                <w:color w:val="000000"/>
                <w:w w:val="90"/>
                <w:sz w:val="24"/>
              </w:rPr>
            </w:pPr>
            <w:r>
              <w:rPr>
                <w:rFonts w:hint="eastAsia" w:ascii="Times New Roman" w:hAnsi="Times New Roman" w:eastAsia="仿宋_GB2312"/>
                <w:color w:val="000000"/>
                <w:sz w:val="22"/>
                <w:szCs w:val="22"/>
              </w:rPr>
              <w:t>高耀镇（</w:t>
            </w:r>
            <w:r>
              <w:rPr>
                <w:rFonts w:ascii="Times New Roman" w:hAnsi="Times New Roman" w:eastAsia="仿宋_GB2312"/>
                <w:color w:val="000000"/>
                <w:sz w:val="22"/>
                <w:szCs w:val="22"/>
              </w:rPr>
              <w:t>10</w:t>
            </w:r>
            <w:r>
              <w:rPr>
                <w:rFonts w:hint="eastAsia" w:ascii="Times New Roman" w:hAnsi="Times New Roman" w:eastAsia="仿宋_GB2312"/>
                <w:color w:val="000000"/>
                <w:sz w:val="22"/>
                <w:szCs w:val="22"/>
              </w:rPr>
              <w:t>个村）</w:t>
            </w:r>
          </w:p>
        </w:tc>
        <w:tc>
          <w:tcPr>
            <w:tcW w:w="11409" w:type="dxa"/>
            <w:vAlign w:val="center"/>
          </w:tcPr>
          <w:p>
            <w:pPr>
              <w:rPr>
                <w:rFonts w:ascii="Times New Roman" w:hAnsi="Times New Roman" w:eastAsia="仿宋_GB2312"/>
                <w:b/>
                <w:color w:val="000000"/>
                <w:w w:val="90"/>
                <w:sz w:val="24"/>
              </w:rPr>
            </w:pPr>
            <w:r>
              <w:rPr>
                <w:rFonts w:hint="eastAsia" w:ascii="Times New Roman" w:hAnsi="Times New Roman" w:eastAsia="仿宋_GB2312"/>
                <w:color w:val="000000"/>
                <w:sz w:val="22"/>
                <w:szCs w:val="22"/>
              </w:rPr>
              <w:t>西塬村、兴龙村、王岭村、兰草河村、龙河村、双关村、里龙村、杨河村、高耀村、会仙村。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83" w:type="dxa"/>
            <w:vAlign w:val="center"/>
          </w:tcPr>
          <w:p>
            <w:pPr>
              <w:numPr>
                <w:ilvl w:val="0"/>
                <w:numId w:val="2"/>
              </w:numPr>
              <w:rPr>
                <w:rFonts w:ascii="Times New Roman" w:hAnsi="Times New Roman" w:eastAsia="仿宋_GB2312"/>
                <w:color w:val="000000"/>
                <w:sz w:val="22"/>
                <w:szCs w:val="22"/>
              </w:rPr>
            </w:pPr>
            <w:r>
              <w:rPr>
                <w:rFonts w:hint="eastAsia" w:ascii="Times New Roman" w:hAnsi="Times New Roman" w:eastAsia="仿宋_GB2312"/>
                <w:color w:val="000000"/>
                <w:sz w:val="22"/>
                <w:szCs w:val="22"/>
              </w:rPr>
              <w:t>灵口镇</w:t>
            </w:r>
          </w:p>
          <w:p>
            <w:pPr>
              <w:rPr>
                <w:rFonts w:ascii="Times New Roman" w:hAnsi="Times New Roman" w:eastAsia="仿宋_GB2312"/>
                <w:b/>
                <w:color w:val="000000"/>
                <w:w w:val="90"/>
                <w:sz w:val="24"/>
              </w:rPr>
            </w:pPr>
            <w:r>
              <w:rPr>
                <w:rFonts w:hint="eastAsia" w:ascii="Times New Roman" w:hAnsi="Times New Roman" w:eastAsia="仿宋_GB2312"/>
                <w:color w:val="000000"/>
                <w:sz w:val="22"/>
                <w:szCs w:val="22"/>
              </w:rPr>
              <w:t>（</w:t>
            </w:r>
            <w:r>
              <w:rPr>
                <w:rFonts w:ascii="Times New Roman" w:hAnsi="Times New Roman" w:eastAsia="仿宋_GB2312"/>
                <w:color w:val="000000"/>
                <w:sz w:val="22"/>
                <w:szCs w:val="22"/>
              </w:rPr>
              <w:t>2</w:t>
            </w:r>
            <w:r>
              <w:rPr>
                <w:rFonts w:hint="eastAsia" w:ascii="Times New Roman" w:hAnsi="Times New Roman" w:eastAsia="仿宋_GB2312"/>
                <w:color w:val="000000"/>
                <w:sz w:val="22"/>
                <w:szCs w:val="22"/>
              </w:rPr>
              <w:t>个社区</w:t>
            </w:r>
            <w:r>
              <w:rPr>
                <w:rFonts w:ascii="Times New Roman" w:hAnsi="Times New Roman" w:eastAsia="仿宋_GB2312"/>
                <w:color w:val="000000"/>
                <w:sz w:val="22"/>
                <w:szCs w:val="22"/>
              </w:rPr>
              <w:t>17</w:t>
            </w:r>
            <w:r>
              <w:rPr>
                <w:rFonts w:hint="eastAsia" w:ascii="Times New Roman" w:hAnsi="Times New Roman" w:eastAsia="仿宋_GB2312"/>
                <w:color w:val="000000"/>
                <w:sz w:val="22"/>
                <w:szCs w:val="22"/>
              </w:rPr>
              <w:t>个村）</w:t>
            </w:r>
          </w:p>
        </w:tc>
        <w:tc>
          <w:tcPr>
            <w:tcW w:w="11409" w:type="dxa"/>
            <w:vAlign w:val="center"/>
          </w:tcPr>
          <w:p>
            <w:pPr>
              <w:adjustRightInd w:val="0"/>
              <w:snapToGrid w:val="0"/>
              <w:spacing w:line="360" w:lineRule="exact"/>
              <w:rPr>
                <w:rFonts w:ascii="Times New Roman" w:hAnsi="Times New Roman" w:eastAsia="仿宋_GB2312"/>
                <w:b/>
                <w:color w:val="000000"/>
                <w:w w:val="90"/>
                <w:sz w:val="24"/>
              </w:rPr>
            </w:pPr>
            <w:r>
              <w:rPr>
                <w:rFonts w:hint="eastAsia" w:ascii="Times New Roman" w:hAnsi="Times New Roman" w:eastAsia="仿宋_GB2312"/>
                <w:color w:val="000000"/>
                <w:sz w:val="22"/>
                <w:szCs w:val="22"/>
              </w:rPr>
              <w:t>灵口街社区、灵泉社区、黄坪村、程湾村、宋川村、焦村、三星村、五家沟村、龙泉村、五龙村、西峰村、上河村、丁塬村、宽坪村、曹窑村、上寺店村、岭底村、陶村、陈庄村。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83" w:type="dxa"/>
            <w:vAlign w:val="center"/>
          </w:tcPr>
          <w:p>
            <w:pPr>
              <w:numPr>
                <w:ilvl w:val="0"/>
                <w:numId w:val="2"/>
              </w:numPr>
              <w:rPr>
                <w:rFonts w:ascii="Times New Roman" w:hAnsi="Times New Roman" w:eastAsia="仿宋_GB2312"/>
                <w:color w:val="000000"/>
                <w:sz w:val="22"/>
                <w:szCs w:val="22"/>
              </w:rPr>
            </w:pPr>
            <w:r>
              <w:rPr>
                <w:rFonts w:hint="eastAsia" w:ascii="Times New Roman" w:hAnsi="Times New Roman" w:eastAsia="仿宋_GB2312"/>
                <w:color w:val="000000"/>
                <w:sz w:val="22"/>
                <w:szCs w:val="22"/>
              </w:rPr>
              <w:t>永丰镇</w:t>
            </w:r>
          </w:p>
          <w:p>
            <w:pPr>
              <w:rPr>
                <w:rFonts w:ascii="Times New Roman" w:hAnsi="Times New Roman" w:eastAsia="仿宋_GB2312"/>
                <w:b/>
                <w:color w:val="000000"/>
                <w:w w:val="90"/>
                <w:sz w:val="24"/>
              </w:rPr>
            </w:pPr>
            <w:r>
              <w:rPr>
                <w:rFonts w:hint="eastAsia" w:ascii="Times New Roman" w:hAnsi="Times New Roman" w:eastAsia="仿宋_GB2312"/>
                <w:color w:val="000000"/>
                <w:sz w:val="22"/>
                <w:szCs w:val="22"/>
              </w:rPr>
              <w:t>（</w:t>
            </w:r>
            <w:r>
              <w:rPr>
                <w:rFonts w:ascii="Times New Roman" w:hAnsi="Times New Roman" w:eastAsia="仿宋_GB2312"/>
                <w:color w:val="000000"/>
                <w:sz w:val="22"/>
                <w:szCs w:val="22"/>
              </w:rPr>
              <w:t>2</w:t>
            </w:r>
            <w:r>
              <w:rPr>
                <w:rFonts w:hint="eastAsia" w:ascii="Times New Roman" w:hAnsi="Times New Roman" w:eastAsia="仿宋_GB2312"/>
                <w:color w:val="000000"/>
                <w:sz w:val="22"/>
                <w:szCs w:val="22"/>
              </w:rPr>
              <w:t>个社区</w:t>
            </w:r>
            <w:r>
              <w:rPr>
                <w:rFonts w:ascii="Times New Roman" w:hAnsi="Times New Roman" w:eastAsia="仿宋_GB2312"/>
                <w:color w:val="000000"/>
                <w:sz w:val="22"/>
                <w:szCs w:val="22"/>
              </w:rPr>
              <w:t>16</w:t>
            </w:r>
            <w:r>
              <w:rPr>
                <w:rFonts w:hint="eastAsia" w:ascii="Times New Roman" w:hAnsi="Times New Roman" w:eastAsia="仿宋_GB2312"/>
                <w:color w:val="000000"/>
                <w:sz w:val="22"/>
                <w:szCs w:val="22"/>
              </w:rPr>
              <w:t>个村）</w:t>
            </w:r>
          </w:p>
        </w:tc>
        <w:tc>
          <w:tcPr>
            <w:tcW w:w="11409" w:type="dxa"/>
            <w:vAlign w:val="center"/>
          </w:tcPr>
          <w:p>
            <w:pPr>
              <w:adjustRightInd w:val="0"/>
              <w:snapToGrid w:val="0"/>
              <w:spacing w:line="360" w:lineRule="exact"/>
              <w:rPr>
                <w:rFonts w:ascii="Times New Roman" w:hAnsi="Times New Roman" w:eastAsia="仿宋_GB2312"/>
                <w:b/>
                <w:color w:val="000000"/>
                <w:w w:val="90"/>
                <w:sz w:val="24"/>
              </w:rPr>
            </w:pPr>
            <w:r>
              <w:rPr>
                <w:rFonts w:hint="eastAsia" w:ascii="Times New Roman" w:hAnsi="Times New Roman" w:eastAsia="仿宋_GB2312"/>
                <w:color w:val="000000"/>
                <w:sz w:val="22"/>
                <w:szCs w:val="22"/>
              </w:rPr>
              <w:t>永丰社区、街西社区、李村、张坡村、冀洼村、赵川村、马洼村、李洼村、席塬村、王村、杨村、刘沟村、东湖村、辛岳村、李塬村、火寨村、太平村、刘村。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7" w:hRule="atLeast"/>
          <w:jc w:val="center"/>
        </w:trPr>
        <w:tc>
          <w:tcPr>
            <w:tcW w:w="2583" w:type="dxa"/>
            <w:vAlign w:val="center"/>
          </w:tcPr>
          <w:p>
            <w:pPr>
              <w:numPr>
                <w:ilvl w:val="0"/>
                <w:numId w:val="3"/>
              </w:numPr>
              <w:rPr>
                <w:rFonts w:ascii="Times New Roman" w:hAnsi="Times New Roman" w:eastAsia="仿宋_GB2312"/>
                <w:color w:val="000000"/>
                <w:sz w:val="22"/>
                <w:szCs w:val="22"/>
              </w:rPr>
            </w:pPr>
            <w:r>
              <w:rPr>
                <w:rFonts w:hint="eastAsia" w:ascii="Times New Roman" w:hAnsi="Times New Roman" w:eastAsia="仿宋_GB2312"/>
                <w:color w:val="000000"/>
                <w:sz w:val="22"/>
                <w:szCs w:val="22"/>
              </w:rPr>
              <w:t>保安镇</w:t>
            </w:r>
          </w:p>
          <w:p>
            <w:pPr>
              <w:rPr>
                <w:rFonts w:ascii="Times New Roman" w:hAnsi="Times New Roman" w:eastAsia="仿宋_GB2312"/>
                <w:b/>
                <w:color w:val="000000"/>
                <w:w w:val="90"/>
                <w:sz w:val="24"/>
              </w:rPr>
            </w:pPr>
            <w:r>
              <w:rPr>
                <w:rFonts w:hint="eastAsia" w:ascii="Times New Roman" w:hAnsi="Times New Roman" w:eastAsia="仿宋_GB2312"/>
                <w:color w:val="000000"/>
                <w:sz w:val="22"/>
                <w:szCs w:val="22"/>
              </w:rPr>
              <w:t>（</w:t>
            </w:r>
            <w:r>
              <w:rPr>
                <w:rFonts w:ascii="Times New Roman" w:hAnsi="Times New Roman" w:eastAsia="仿宋_GB2312"/>
                <w:color w:val="000000"/>
                <w:sz w:val="22"/>
                <w:szCs w:val="22"/>
              </w:rPr>
              <w:t>1</w:t>
            </w:r>
            <w:r>
              <w:rPr>
                <w:rFonts w:hint="eastAsia" w:ascii="Times New Roman" w:hAnsi="Times New Roman" w:eastAsia="仿宋_GB2312"/>
                <w:color w:val="000000"/>
                <w:sz w:val="22"/>
                <w:szCs w:val="22"/>
              </w:rPr>
              <w:t>个社区</w:t>
            </w:r>
            <w:r>
              <w:rPr>
                <w:rFonts w:ascii="Times New Roman" w:hAnsi="Times New Roman" w:eastAsia="仿宋_GB2312"/>
                <w:color w:val="000000"/>
                <w:sz w:val="22"/>
                <w:szCs w:val="22"/>
              </w:rPr>
              <w:t>12</w:t>
            </w:r>
            <w:r>
              <w:rPr>
                <w:rFonts w:hint="eastAsia" w:ascii="Times New Roman" w:hAnsi="Times New Roman" w:eastAsia="仿宋_GB2312"/>
                <w:color w:val="000000"/>
                <w:sz w:val="22"/>
                <w:szCs w:val="22"/>
              </w:rPr>
              <w:t>个村）</w:t>
            </w:r>
          </w:p>
        </w:tc>
        <w:tc>
          <w:tcPr>
            <w:tcW w:w="11409" w:type="dxa"/>
            <w:vAlign w:val="center"/>
          </w:tcPr>
          <w:p>
            <w:pPr>
              <w:jc w:val="left"/>
              <w:rPr>
                <w:rFonts w:ascii="Times New Roman" w:hAnsi="Times New Roman" w:eastAsia="仿宋_GB2312"/>
                <w:color w:val="000000"/>
                <w:sz w:val="22"/>
                <w:szCs w:val="22"/>
              </w:rPr>
            </w:pPr>
            <w:r>
              <w:rPr>
                <w:rFonts w:hint="eastAsia" w:ascii="Times New Roman" w:hAnsi="Times New Roman" w:eastAsia="仿宋_GB2312"/>
                <w:color w:val="000000"/>
                <w:sz w:val="22"/>
                <w:szCs w:val="22"/>
              </w:rPr>
              <w:t>仓圣社区、三义村、北斗村、八道河村、许庙村、庙底村、文峪村、西坝村、杨庄村、东湾村、黑潭村、眉底村、</w:t>
            </w:r>
          </w:p>
          <w:p>
            <w:pPr>
              <w:jc w:val="left"/>
              <w:rPr>
                <w:rFonts w:ascii="Times New Roman" w:hAnsi="Times New Roman" w:eastAsia="仿宋_GB2312"/>
                <w:b/>
                <w:color w:val="000000"/>
                <w:w w:val="90"/>
                <w:sz w:val="24"/>
              </w:rPr>
            </w:pPr>
            <w:r>
              <w:rPr>
                <w:rFonts w:hint="eastAsia" w:ascii="Times New Roman" w:hAnsi="Times New Roman" w:eastAsia="仿宋_GB2312"/>
                <w:color w:val="000000"/>
                <w:sz w:val="22"/>
                <w:szCs w:val="22"/>
              </w:rPr>
              <w:t>鱼龙村。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83" w:type="dxa"/>
            <w:vAlign w:val="center"/>
          </w:tcPr>
          <w:p>
            <w:pPr>
              <w:jc w:val="center"/>
              <w:rPr>
                <w:rFonts w:ascii="Times New Roman" w:hAnsi="Times New Roman" w:eastAsia="仿宋_GB2312"/>
                <w:b/>
                <w:color w:val="000000"/>
                <w:w w:val="90"/>
                <w:sz w:val="24"/>
              </w:rPr>
            </w:pPr>
            <w:r>
              <w:rPr>
                <w:rFonts w:ascii="Times New Roman" w:hAnsi="Times New Roman" w:eastAsia="仿宋_GB2312"/>
                <w:color w:val="000000"/>
                <w:sz w:val="22"/>
                <w:szCs w:val="22"/>
              </w:rPr>
              <w:t>11</w:t>
            </w:r>
            <w:r>
              <w:rPr>
                <w:rFonts w:hint="eastAsia" w:ascii="Times New Roman" w:hAnsi="Times New Roman" w:eastAsia="仿宋_GB2312"/>
                <w:color w:val="000000"/>
                <w:sz w:val="22"/>
                <w:szCs w:val="22"/>
              </w:rPr>
              <w:t>、洛源镇（</w:t>
            </w:r>
            <w:r>
              <w:rPr>
                <w:rFonts w:ascii="Times New Roman" w:hAnsi="Times New Roman" w:eastAsia="仿宋_GB2312"/>
                <w:color w:val="000000"/>
                <w:sz w:val="22"/>
                <w:szCs w:val="22"/>
              </w:rPr>
              <w:t>10</w:t>
            </w:r>
            <w:r>
              <w:rPr>
                <w:rFonts w:hint="eastAsia" w:ascii="Times New Roman" w:hAnsi="Times New Roman" w:eastAsia="仿宋_GB2312"/>
                <w:color w:val="000000"/>
                <w:sz w:val="22"/>
                <w:szCs w:val="22"/>
              </w:rPr>
              <w:t>个村）</w:t>
            </w:r>
          </w:p>
        </w:tc>
        <w:tc>
          <w:tcPr>
            <w:tcW w:w="11409" w:type="dxa"/>
            <w:vAlign w:val="center"/>
          </w:tcPr>
          <w:p>
            <w:pPr>
              <w:jc w:val="left"/>
              <w:rPr>
                <w:rFonts w:ascii="Times New Roman" w:hAnsi="Times New Roman" w:eastAsia="仿宋_GB2312"/>
                <w:b/>
                <w:color w:val="000000"/>
                <w:w w:val="90"/>
                <w:sz w:val="24"/>
              </w:rPr>
            </w:pPr>
            <w:r>
              <w:rPr>
                <w:rFonts w:hint="eastAsia" w:ascii="Times New Roman" w:hAnsi="Times New Roman" w:eastAsia="仿宋_GB2312"/>
                <w:color w:val="000000"/>
                <w:sz w:val="22"/>
                <w:szCs w:val="22"/>
              </w:rPr>
              <w:t>洛源街村、五龙村、张坪村、吊棚村、腰庄村、涧坪村、老庄村、农林村、桃坪村、龙潭村。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83" w:type="dxa"/>
            <w:vAlign w:val="center"/>
          </w:tcPr>
          <w:p>
            <w:pPr>
              <w:numPr>
                <w:ilvl w:val="0"/>
                <w:numId w:val="4"/>
              </w:numPr>
              <w:rPr>
                <w:rFonts w:ascii="Times New Roman" w:hAnsi="Times New Roman" w:eastAsia="仿宋_GB2312"/>
                <w:color w:val="000000"/>
                <w:sz w:val="22"/>
                <w:szCs w:val="22"/>
              </w:rPr>
            </w:pPr>
            <w:r>
              <w:rPr>
                <w:rFonts w:hint="eastAsia" w:ascii="Times New Roman" w:hAnsi="Times New Roman" w:eastAsia="仿宋_GB2312"/>
                <w:color w:val="000000"/>
                <w:sz w:val="22"/>
                <w:szCs w:val="22"/>
              </w:rPr>
              <w:t>石门镇</w:t>
            </w:r>
          </w:p>
          <w:p>
            <w:pPr>
              <w:rPr>
                <w:rFonts w:ascii="Times New Roman" w:hAnsi="Times New Roman" w:eastAsia="仿宋_GB2312"/>
                <w:b/>
                <w:color w:val="000000"/>
                <w:w w:val="90"/>
                <w:sz w:val="24"/>
              </w:rPr>
            </w:pPr>
            <w:r>
              <w:rPr>
                <w:rFonts w:hint="eastAsia" w:ascii="Times New Roman" w:hAnsi="Times New Roman" w:eastAsia="仿宋_GB2312"/>
                <w:color w:val="000000"/>
                <w:sz w:val="22"/>
                <w:szCs w:val="22"/>
              </w:rPr>
              <w:t>（</w:t>
            </w:r>
            <w:r>
              <w:rPr>
                <w:rFonts w:ascii="Times New Roman" w:hAnsi="Times New Roman" w:eastAsia="仿宋_GB2312"/>
                <w:color w:val="000000"/>
                <w:sz w:val="22"/>
                <w:szCs w:val="22"/>
              </w:rPr>
              <w:t>2</w:t>
            </w:r>
            <w:r>
              <w:rPr>
                <w:rFonts w:hint="eastAsia" w:ascii="Times New Roman" w:hAnsi="Times New Roman" w:eastAsia="仿宋_GB2312"/>
                <w:color w:val="000000"/>
                <w:sz w:val="22"/>
                <w:szCs w:val="22"/>
              </w:rPr>
              <w:t>个社区</w:t>
            </w:r>
            <w:r>
              <w:rPr>
                <w:rFonts w:ascii="Times New Roman" w:hAnsi="Times New Roman" w:eastAsia="仿宋_GB2312"/>
                <w:color w:val="000000"/>
                <w:sz w:val="22"/>
                <w:szCs w:val="22"/>
              </w:rPr>
              <w:t>12</w:t>
            </w:r>
            <w:r>
              <w:rPr>
                <w:rFonts w:hint="eastAsia" w:ascii="Times New Roman" w:hAnsi="Times New Roman" w:eastAsia="仿宋_GB2312"/>
                <w:color w:val="000000"/>
                <w:sz w:val="22"/>
                <w:szCs w:val="22"/>
              </w:rPr>
              <w:t>个村）</w:t>
            </w:r>
          </w:p>
        </w:tc>
        <w:tc>
          <w:tcPr>
            <w:tcW w:w="11409" w:type="dxa"/>
            <w:vAlign w:val="center"/>
          </w:tcPr>
          <w:p>
            <w:pPr>
              <w:adjustRightInd w:val="0"/>
              <w:snapToGrid w:val="0"/>
              <w:spacing w:line="360" w:lineRule="exact"/>
              <w:rPr>
                <w:rFonts w:ascii="Times New Roman" w:hAnsi="Times New Roman" w:eastAsia="仿宋_GB2312"/>
                <w:b/>
                <w:color w:val="000000"/>
                <w:w w:val="90"/>
                <w:sz w:val="24"/>
              </w:rPr>
            </w:pPr>
            <w:r>
              <w:rPr>
                <w:rFonts w:hint="eastAsia" w:ascii="Times New Roman" w:hAnsi="Times New Roman" w:eastAsia="仿宋_GB2312"/>
                <w:color w:val="000000"/>
                <w:sz w:val="22"/>
                <w:szCs w:val="22"/>
              </w:rPr>
              <w:t>石门街社区、刘家社区、下铺村、王桥村、杨河村、桥河村、留题村、张湾村、太白岔村、陈涧村、黄龙铺村、东山村、三岔村、花庙村。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83" w:type="dxa"/>
            <w:vAlign w:val="center"/>
          </w:tcPr>
          <w:p>
            <w:pPr>
              <w:jc w:val="center"/>
              <w:rPr>
                <w:rFonts w:ascii="Times New Roman" w:hAnsi="Times New Roman" w:eastAsia="仿宋_GB2312"/>
                <w:b/>
                <w:color w:val="000000"/>
                <w:w w:val="90"/>
                <w:sz w:val="24"/>
              </w:rPr>
            </w:pPr>
            <w:r>
              <w:rPr>
                <w:rFonts w:ascii="Times New Roman" w:hAnsi="Times New Roman" w:eastAsia="仿宋_GB2312"/>
                <w:color w:val="000000"/>
                <w:sz w:val="22"/>
                <w:szCs w:val="22"/>
              </w:rPr>
              <w:t>13</w:t>
            </w:r>
            <w:r>
              <w:rPr>
                <w:rFonts w:hint="eastAsia" w:ascii="Times New Roman" w:hAnsi="Times New Roman" w:eastAsia="仿宋_GB2312"/>
                <w:color w:val="000000"/>
                <w:sz w:val="22"/>
                <w:szCs w:val="22"/>
              </w:rPr>
              <w:t>、麻坪镇（</w:t>
            </w:r>
            <w:r>
              <w:rPr>
                <w:rFonts w:ascii="Times New Roman" w:hAnsi="Times New Roman" w:eastAsia="仿宋_GB2312"/>
                <w:color w:val="000000"/>
                <w:sz w:val="22"/>
                <w:szCs w:val="22"/>
              </w:rPr>
              <w:t>10</w:t>
            </w:r>
            <w:r>
              <w:rPr>
                <w:rFonts w:hint="eastAsia" w:ascii="Times New Roman" w:hAnsi="Times New Roman" w:eastAsia="仿宋_GB2312"/>
                <w:color w:val="000000"/>
                <w:sz w:val="22"/>
                <w:szCs w:val="22"/>
              </w:rPr>
              <w:t>个村）</w:t>
            </w:r>
          </w:p>
        </w:tc>
        <w:tc>
          <w:tcPr>
            <w:tcW w:w="11409" w:type="dxa"/>
            <w:vAlign w:val="center"/>
          </w:tcPr>
          <w:p>
            <w:pPr>
              <w:adjustRightInd w:val="0"/>
              <w:snapToGrid w:val="0"/>
              <w:spacing w:line="360" w:lineRule="exact"/>
              <w:rPr>
                <w:rFonts w:ascii="Times New Roman" w:hAnsi="Times New Roman" w:eastAsia="仿宋_GB2312"/>
                <w:b/>
                <w:color w:val="000000"/>
                <w:w w:val="90"/>
                <w:sz w:val="24"/>
              </w:rPr>
            </w:pPr>
            <w:r>
              <w:rPr>
                <w:rFonts w:hint="eastAsia" w:ascii="Times New Roman" w:hAnsi="Times New Roman" w:eastAsia="仿宋_GB2312"/>
                <w:color w:val="000000"/>
                <w:sz w:val="22"/>
                <w:szCs w:val="22"/>
              </w:rPr>
              <w:t>麻坪街社区、宋村、孤山社区、娘庙村、云蒙山村、峪口村、斜岭村、陈台村、栗西口村、三兴社区。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83" w:type="dxa"/>
            <w:vAlign w:val="center"/>
          </w:tcPr>
          <w:p>
            <w:pPr>
              <w:rPr>
                <w:rFonts w:ascii="Times New Roman" w:hAnsi="Times New Roman" w:eastAsia="仿宋_GB2312"/>
                <w:color w:val="000000"/>
                <w:sz w:val="22"/>
                <w:szCs w:val="22"/>
              </w:rPr>
            </w:pPr>
            <w:r>
              <w:rPr>
                <w:rFonts w:ascii="Times New Roman" w:hAnsi="Times New Roman" w:eastAsia="仿宋_GB2312"/>
                <w:color w:val="000000"/>
                <w:sz w:val="22"/>
                <w:szCs w:val="22"/>
              </w:rPr>
              <w:t>14</w:t>
            </w:r>
            <w:r>
              <w:rPr>
                <w:rFonts w:hint="eastAsia" w:ascii="Times New Roman" w:hAnsi="Times New Roman" w:eastAsia="仿宋_GB2312"/>
                <w:color w:val="000000"/>
                <w:sz w:val="22"/>
                <w:szCs w:val="22"/>
              </w:rPr>
              <w:t>、石坡镇</w:t>
            </w:r>
          </w:p>
          <w:p>
            <w:pPr>
              <w:rPr>
                <w:rFonts w:ascii="Times New Roman" w:hAnsi="Times New Roman" w:eastAsia="仿宋_GB2312"/>
                <w:b/>
                <w:color w:val="000000"/>
                <w:w w:val="90"/>
                <w:sz w:val="24"/>
              </w:rPr>
            </w:pPr>
            <w:r>
              <w:rPr>
                <w:rFonts w:hint="eastAsia" w:ascii="Times New Roman" w:hAnsi="Times New Roman" w:eastAsia="仿宋_GB2312"/>
                <w:color w:val="000000"/>
                <w:sz w:val="22"/>
                <w:szCs w:val="22"/>
              </w:rPr>
              <w:t>（</w:t>
            </w:r>
            <w:r>
              <w:rPr>
                <w:rFonts w:ascii="Times New Roman" w:hAnsi="Times New Roman" w:eastAsia="仿宋_GB2312"/>
                <w:color w:val="000000"/>
                <w:sz w:val="22"/>
                <w:szCs w:val="22"/>
              </w:rPr>
              <w:t>1</w:t>
            </w:r>
            <w:r>
              <w:rPr>
                <w:rFonts w:hint="eastAsia" w:ascii="Times New Roman" w:hAnsi="Times New Roman" w:eastAsia="仿宋_GB2312"/>
                <w:color w:val="000000"/>
                <w:sz w:val="22"/>
                <w:szCs w:val="22"/>
              </w:rPr>
              <w:t>个社区</w:t>
            </w:r>
            <w:r>
              <w:rPr>
                <w:rFonts w:ascii="Times New Roman" w:hAnsi="Times New Roman" w:eastAsia="仿宋_GB2312"/>
                <w:color w:val="000000"/>
                <w:sz w:val="22"/>
                <w:szCs w:val="22"/>
              </w:rPr>
              <w:t>16</w:t>
            </w:r>
            <w:r>
              <w:rPr>
                <w:rFonts w:hint="eastAsia" w:ascii="Times New Roman" w:hAnsi="Times New Roman" w:eastAsia="仿宋_GB2312"/>
                <w:color w:val="000000"/>
                <w:sz w:val="22"/>
                <w:szCs w:val="22"/>
              </w:rPr>
              <w:t>个村）</w:t>
            </w:r>
          </w:p>
        </w:tc>
        <w:tc>
          <w:tcPr>
            <w:tcW w:w="11409" w:type="dxa"/>
            <w:vAlign w:val="center"/>
          </w:tcPr>
          <w:p>
            <w:pPr>
              <w:adjustRightInd w:val="0"/>
              <w:snapToGrid w:val="0"/>
              <w:spacing w:line="360" w:lineRule="exact"/>
              <w:jc w:val="left"/>
              <w:rPr>
                <w:rFonts w:ascii="Times New Roman" w:hAnsi="Times New Roman" w:eastAsia="仿宋_GB2312"/>
                <w:b/>
                <w:color w:val="000000"/>
                <w:w w:val="90"/>
                <w:sz w:val="24"/>
              </w:rPr>
            </w:pPr>
            <w:r>
              <w:rPr>
                <w:rFonts w:hint="eastAsia" w:ascii="Times New Roman" w:hAnsi="Times New Roman" w:eastAsia="仿宋_GB2312"/>
                <w:color w:val="000000"/>
                <w:sz w:val="22"/>
                <w:szCs w:val="22"/>
              </w:rPr>
              <w:t>石坡街社区、罗窑村、纸房村、周湾村、王村、香山村、黑山村、新华村、华星村、石羊村、李河村、金鞍村、南坪村、郝坪村、王窑村、寇窑村、桑坪村。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83" w:type="dxa"/>
            <w:vAlign w:val="center"/>
          </w:tcPr>
          <w:p>
            <w:pPr>
              <w:rPr>
                <w:rFonts w:ascii="Times New Roman" w:hAnsi="Times New Roman" w:eastAsia="仿宋_GB2312"/>
                <w:color w:val="000000"/>
                <w:sz w:val="22"/>
                <w:szCs w:val="22"/>
              </w:rPr>
            </w:pPr>
            <w:r>
              <w:rPr>
                <w:rFonts w:ascii="Times New Roman" w:hAnsi="Times New Roman" w:eastAsia="仿宋_GB2312"/>
                <w:color w:val="000000"/>
                <w:sz w:val="22"/>
                <w:szCs w:val="22"/>
              </w:rPr>
              <w:t>15</w:t>
            </w:r>
            <w:r>
              <w:rPr>
                <w:rFonts w:hint="eastAsia" w:ascii="Times New Roman" w:hAnsi="Times New Roman" w:eastAsia="仿宋_GB2312"/>
                <w:color w:val="000000"/>
                <w:sz w:val="22"/>
                <w:szCs w:val="22"/>
              </w:rPr>
              <w:t>、巡检镇</w:t>
            </w:r>
          </w:p>
          <w:p>
            <w:pPr>
              <w:rPr>
                <w:rFonts w:ascii="Times New Roman" w:hAnsi="Times New Roman" w:eastAsia="仿宋_GB2312"/>
                <w:b/>
                <w:color w:val="000000"/>
                <w:w w:val="90"/>
                <w:sz w:val="24"/>
              </w:rPr>
            </w:pPr>
            <w:r>
              <w:rPr>
                <w:rFonts w:hint="eastAsia" w:ascii="Times New Roman" w:hAnsi="Times New Roman" w:eastAsia="仿宋_GB2312"/>
                <w:color w:val="000000"/>
                <w:sz w:val="22"/>
                <w:szCs w:val="22"/>
              </w:rPr>
              <w:t>（</w:t>
            </w:r>
            <w:r>
              <w:rPr>
                <w:rFonts w:ascii="Times New Roman" w:hAnsi="Times New Roman" w:eastAsia="仿宋_GB2312"/>
                <w:color w:val="000000"/>
                <w:sz w:val="22"/>
                <w:szCs w:val="22"/>
              </w:rPr>
              <w:t>1</w:t>
            </w:r>
            <w:r>
              <w:rPr>
                <w:rFonts w:hint="eastAsia" w:ascii="Times New Roman" w:hAnsi="Times New Roman" w:eastAsia="仿宋_GB2312"/>
                <w:color w:val="000000"/>
                <w:sz w:val="22"/>
                <w:szCs w:val="22"/>
              </w:rPr>
              <w:t>个社区</w:t>
            </w:r>
            <w:r>
              <w:rPr>
                <w:rFonts w:ascii="Times New Roman" w:hAnsi="Times New Roman" w:eastAsia="仿宋_GB2312"/>
                <w:color w:val="000000"/>
                <w:sz w:val="22"/>
                <w:szCs w:val="22"/>
              </w:rPr>
              <w:t>7</w:t>
            </w:r>
            <w:r>
              <w:rPr>
                <w:rFonts w:hint="eastAsia" w:ascii="Times New Roman" w:hAnsi="Times New Roman" w:eastAsia="仿宋_GB2312"/>
                <w:color w:val="000000"/>
                <w:sz w:val="22"/>
                <w:szCs w:val="22"/>
              </w:rPr>
              <w:t>个村）</w:t>
            </w:r>
          </w:p>
        </w:tc>
        <w:tc>
          <w:tcPr>
            <w:tcW w:w="11409" w:type="dxa"/>
            <w:vAlign w:val="center"/>
          </w:tcPr>
          <w:p>
            <w:pPr>
              <w:adjustRightInd w:val="0"/>
              <w:snapToGrid w:val="0"/>
              <w:spacing w:line="360" w:lineRule="exact"/>
              <w:rPr>
                <w:rFonts w:ascii="Times New Roman" w:hAnsi="Times New Roman" w:eastAsia="仿宋_GB2312"/>
                <w:b/>
                <w:color w:val="000000"/>
                <w:w w:val="90"/>
                <w:sz w:val="24"/>
              </w:rPr>
            </w:pPr>
            <w:r>
              <w:rPr>
                <w:rFonts w:hint="eastAsia" w:ascii="Times New Roman" w:hAnsi="Times New Roman" w:eastAsia="仿宋_GB2312"/>
                <w:color w:val="000000"/>
                <w:sz w:val="22"/>
                <w:szCs w:val="22"/>
              </w:rPr>
              <w:t>巡检街社区、石墙村、三元村</w:t>
            </w:r>
            <w:r>
              <w:rPr>
                <w:rFonts w:ascii="Times New Roman" w:hAnsi="Times New Roman" w:eastAsia="仿宋_GB2312"/>
                <w:color w:val="000000"/>
                <w:sz w:val="22"/>
                <w:szCs w:val="22"/>
              </w:rPr>
              <w:t xml:space="preserve"> </w:t>
            </w:r>
            <w:r>
              <w:rPr>
                <w:rFonts w:hint="eastAsia" w:ascii="Times New Roman" w:hAnsi="Times New Roman" w:eastAsia="仿宋_GB2312"/>
                <w:color w:val="000000"/>
                <w:sz w:val="22"/>
                <w:szCs w:val="22"/>
              </w:rPr>
              <w:t>、黑彰村</w:t>
            </w:r>
            <w:r>
              <w:rPr>
                <w:rFonts w:ascii="Times New Roman" w:hAnsi="Times New Roman" w:eastAsia="仿宋_GB2312"/>
                <w:color w:val="000000"/>
                <w:sz w:val="22"/>
                <w:szCs w:val="22"/>
              </w:rPr>
              <w:t xml:space="preserve"> </w:t>
            </w:r>
            <w:r>
              <w:rPr>
                <w:rFonts w:hint="eastAsia" w:ascii="Times New Roman" w:hAnsi="Times New Roman" w:eastAsia="仿宋_GB2312"/>
                <w:color w:val="000000"/>
                <w:sz w:val="22"/>
                <w:szCs w:val="22"/>
              </w:rPr>
              <w:t>、上庙村、高山河村、驾鹿村、太子坪村。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83" w:type="dxa"/>
            <w:vAlign w:val="center"/>
          </w:tcPr>
          <w:p>
            <w:pPr>
              <w:numPr>
                <w:ilvl w:val="0"/>
                <w:numId w:val="5"/>
              </w:numPr>
              <w:rPr>
                <w:rFonts w:ascii="Times New Roman" w:hAnsi="Times New Roman" w:eastAsia="仿宋_GB2312"/>
                <w:color w:val="000000"/>
                <w:sz w:val="22"/>
                <w:szCs w:val="22"/>
              </w:rPr>
            </w:pPr>
            <w:r>
              <w:rPr>
                <w:rFonts w:hint="eastAsia" w:ascii="Times New Roman" w:hAnsi="Times New Roman" w:eastAsia="仿宋_GB2312"/>
                <w:color w:val="000000"/>
                <w:sz w:val="22"/>
                <w:szCs w:val="22"/>
              </w:rPr>
              <w:t>寺耳镇</w:t>
            </w:r>
          </w:p>
          <w:p>
            <w:pPr>
              <w:rPr>
                <w:rFonts w:ascii="Times New Roman" w:hAnsi="Times New Roman" w:eastAsia="仿宋_GB2312"/>
                <w:b/>
                <w:color w:val="000000"/>
                <w:w w:val="90"/>
                <w:sz w:val="24"/>
              </w:rPr>
            </w:pPr>
            <w:r>
              <w:rPr>
                <w:rFonts w:hint="eastAsia" w:ascii="Times New Roman" w:hAnsi="Times New Roman" w:eastAsia="仿宋_GB2312"/>
                <w:color w:val="000000"/>
                <w:sz w:val="22"/>
                <w:szCs w:val="22"/>
              </w:rPr>
              <w:t>（</w:t>
            </w:r>
            <w:r>
              <w:rPr>
                <w:rFonts w:ascii="Times New Roman" w:hAnsi="Times New Roman" w:eastAsia="仿宋_GB2312"/>
                <w:color w:val="000000"/>
                <w:sz w:val="22"/>
                <w:szCs w:val="22"/>
              </w:rPr>
              <w:t>1</w:t>
            </w:r>
            <w:r>
              <w:rPr>
                <w:rFonts w:hint="eastAsia" w:ascii="Times New Roman" w:hAnsi="Times New Roman" w:eastAsia="仿宋_GB2312"/>
                <w:color w:val="000000"/>
                <w:sz w:val="22"/>
                <w:szCs w:val="22"/>
              </w:rPr>
              <w:t>个社区</w:t>
            </w:r>
            <w:r>
              <w:rPr>
                <w:rFonts w:ascii="Times New Roman" w:hAnsi="Times New Roman" w:eastAsia="仿宋_GB2312"/>
                <w:color w:val="000000"/>
                <w:sz w:val="22"/>
                <w:szCs w:val="22"/>
              </w:rPr>
              <w:t>8</w:t>
            </w:r>
            <w:r>
              <w:rPr>
                <w:rFonts w:hint="eastAsia" w:ascii="Times New Roman" w:hAnsi="Times New Roman" w:eastAsia="仿宋_GB2312"/>
                <w:color w:val="000000"/>
                <w:sz w:val="22"/>
                <w:szCs w:val="22"/>
              </w:rPr>
              <w:t>个村）</w:t>
            </w:r>
          </w:p>
        </w:tc>
        <w:tc>
          <w:tcPr>
            <w:tcW w:w="11409" w:type="dxa"/>
            <w:vAlign w:val="center"/>
          </w:tcPr>
          <w:p>
            <w:pPr>
              <w:rPr>
                <w:rFonts w:ascii="Times New Roman" w:hAnsi="Times New Roman" w:eastAsia="仿宋_GB2312"/>
                <w:b/>
                <w:color w:val="000000"/>
                <w:w w:val="90"/>
                <w:sz w:val="24"/>
              </w:rPr>
            </w:pPr>
            <w:r>
              <w:rPr>
                <w:rFonts w:hint="eastAsia" w:ascii="Times New Roman" w:hAnsi="Times New Roman" w:eastAsia="仿宋_GB2312"/>
                <w:color w:val="000000"/>
                <w:sz w:val="22"/>
                <w:szCs w:val="22"/>
              </w:rPr>
              <w:t>寺耳街社区、田门村、黄龛村、高村、王沟村、胭脂河村、东庄村、伍仙村、梁坪村。</w:t>
            </w:r>
          </w:p>
        </w:tc>
      </w:tr>
    </w:tbl>
    <w:p>
      <w:pPr>
        <w:spacing w:line="20" w:lineRule="exact"/>
        <w:rPr>
          <w:rFonts w:ascii="Times New Roman" w:hAnsi="Times New Roman"/>
          <w:color w:val="000000"/>
        </w:rPr>
      </w:pPr>
    </w:p>
    <w:p>
      <w:pPr>
        <w:spacing w:line="20" w:lineRule="exact"/>
        <w:rPr>
          <w:rFonts w:ascii="Times New Roman" w:hAnsi="Times New Roman"/>
          <w:color w:val="000000"/>
        </w:rPr>
      </w:pPr>
    </w:p>
    <w:p>
      <w:pPr>
        <w:spacing w:line="20" w:lineRule="exact"/>
        <w:rPr>
          <w:rFonts w:ascii="Times New Roman" w:hAnsi="Times New Roman"/>
          <w:color w:val="000000"/>
        </w:rPr>
      </w:pPr>
    </w:p>
    <w:p>
      <w:pPr>
        <w:rPr>
          <w:rFonts w:ascii="Times New Roman" w:hAnsi="Times New Roman"/>
        </w:rPr>
      </w:pPr>
    </w:p>
    <w:p>
      <w:pPr>
        <w:pStyle w:val="2"/>
        <w:rPr>
          <w:rFonts w:ascii="Times New Roman" w:hAnsi="Times New Roman"/>
        </w:rPr>
        <w:sectPr>
          <w:pgSz w:w="16838" w:h="11906" w:orient="landscape"/>
          <w:pgMar w:top="1985" w:right="1531" w:bottom="1588" w:left="1531" w:header="851" w:footer="1247" w:gutter="0"/>
          <w:pgNumType w:fmt="numberInDash"/>
          <w:cols w:space="425" w:num="1"/>
          <w:docGrid w:type="lines" w:linePitch="312" w:charSpace="0"/>
        </w:sectPr>
      </w:pPr>
    </w:p>
    <w:p>
      <w:pPr>
        <w:pStyle w:val="2"/>
        <w:rPr>
          <w:rFonts w:ascii="Times New Roman" w:hAnsi="Times New Roman"/>
        </w:rPr>
        <w:sectPr>
          <w:pgSz w:w="16838" w:h="11906" w:orient="landscape"/>
          <w:pgMar w:top="1985" w:right="1531" w:bottom="1588" w:left="1531" w:header="851" w:footer="1247" w:gutter="0"/>
          <w:pgNumType w:fmt="numberInDash"/>
          <w:cols w:space="425" w:num="1"/>
          <w:docGrid w:type="lines" w:linePitch="312" w:charSpace="0"/>
        </w:sectPr>
      </w:pPr>
      <w:r>
        <w:pict>
          <v:shape id="_x0000_s1026" o:spid="_x0000_s1026" o:spt="75" type="#_x0000_t75" style="position:absolute;left:0pt;margin-left:-15.9pt;margin-top:-27.55pt;height:450.45pt;width:720pt;mso-wrap-distance-bottom:0pt;mso-wrap-distance-left:9pt;mso-wrap-distance-right:9pt;mso-wrap-distance-top:0pt;z-index:251659264;mso-width-relative:page;mso-height-relative:page;" filled="f" o:preferrelative="t" stroked="f" coordsize="21600,21600">
            <v:path/>
            <v:fill on="f" focussize="0,0"/>
            <v:stroke on="f" joinstyle="miter"/>
            <v:imagedata r:id="rId10" o:title=""/>
            <o:lock v:ext="edit" aspectratio="t"/>
            <w10:wrap type="square"/>
          </v:shape>
        </w:pict>
      </w:r>
    </w:p>
    <w:p>
      <w:pPr>
        <w:pStyle w:val="2"/>
        <w:rPr>
          <w:rFonts w:ascii="Times New Roman" w:hAnsi="Times New Roman"/>
        </w:rPr>
        <w:sectPr>
          <w:pgSz w:w="16838" w:h="11906" w:orient="landscape"/>
          <w:pgMar w:top="1985" w:right="1531" w:bottom="1588" w:left="1531" w:header="851" w:footer="1247" w:gutter="0"/>
          <w:pgNumType w:fmt="numberInDash"/>
          <w:cols w:space="425" w:num="1"/>
          <w:docGrid w:type="lines" w:linePitch="312" w:charSpace="0"/>
        </w:sectPr>
      </w:pPr>
      <w:r>
        <w:pict>
          <v:shape id="_x0000_s1027" o:spid="_x0000_s1027" o:spt="75" type="#_x0000_t75" style="position:absolute;left:0pt;margin-left:-17.1pt;margin-top:-18.25pt;height:438.6pt;width:726.05pt;mso-wrap-distance-bottom:0pt;mso-wrap-distance-left:9pt;mso-wrap-distance-right:9pt;mso-wrap-distance-top:0pt;z-index:251660288;mso-width-relative:page;mso-height-relative:page;" filled="f" o:preferrelative="t" stroked="f" coordsize="21600,21600">
            <v:path/>
            <v:fill on="f" focussize="0,0"/>
            <v:stroke on="f" joinstyle="miter"/>
            <v:imagedata r:id="rId11" o:title=""/>
            <o:lock v:ext="edit" aspectratio="t"/>
            <w10:wrap type="square"/>
          </v:shape>
        </w:pict>
      </w:r>
    </w:p>
    <w:p>
      <w:pPr>
        <w:pStyle w:val="2"/>
        <w:rPr>
          <w:rFonts w:ascii="Times New Roman" w:hAnsi="Times New Roman"/>
        </w:rPr>
      </w:pPr>
      <w:r>
        <w:pict>
          <v:shape id="_x0000_s1028" o:spid="_x0000_s1028" o:spt="75" type="#_x0000_t75" style="position:absolute;left:0pt;margin-left:-9.7pt;margin-top:-19.1pt;height:454.65pt;width:720.45pt;mso-wrap-distance-bottom:0pt;mso-wrap-distance-left:9pt;mso-wrap-distance-right:9pt;mso-wrap-distance-top:0pt;z-index:251661312;mso-width-relative:page;mso-height-relative:page;" filled="f" o:preferrelative="t" stroked="f" coordsize="21600,21600">
            <v:path/>
            <v:fill on="f" focussize="0,0"/>
            <v:stroke on="f" joinstyle="miter"/>
            <v:imagedata r:id="rId12" o:title=""/>
            <o:lock v:ext="edit" aspectratio="t"/>
            <w10:wrap type="square"/>
          </v:shape>
        </w:pict>
      </w:r>
    </w:p>
    <w:sectPr>
      <w:pgSz w:w="16838" w:h="11906" w:orient="landscape"/>
      <w:pgMar w:top="1984" w:right="1531" w:bottom="1587" w:left="1531" w:header="851" w:footer="992" w:gutter="0"/>
      <w:pgNumType w:fmt="numberInDash"/>
      <w:cols w:space="0" w:num="1"/>
      <w:rtlGutter w:val="0"/>
      <w:docGrid w:type="lines" w:linePitch="32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方正小标宋简体">
    <w:altName w:val="Arial Unicode MS"/>
    <w:panose1 w:val="02010601030101010101"/>
    <w:charset w:val="86"/>
    <w:family w:val="auto"/>
    <w:pitch w:val="default"/>
    <w:sig w:usb0="00000000" w:usb1="00000000" w:usb2="00000000" w:usb3="00000000" w:csb0="00040000" w:csb1="00000000"/>
  </w:font>
  <w:font w:name="Arial Unicode MS">
    <w:panose1 w:val="020B0604020202020204"/>
    <w:charset w:val="86"/>
    <w:family w:val="auto"/>
    <w:pitch w:val="default"/>
    <w:sig w:usb0="FFFFFFFF" w:usb1="E9FFFFFF" w:usb2="0000003F" w:usb3="00000000" w:csb0="603F01FF" w:csb1="FFFF0000"/>
  </w:font>
  <w:font w:name="楷体_GB2312">
    <w:panose1 w:val="02010609030101010101"/>
    <w:charset w:val="86"/>
    <w:family w:val="swiss"/>
    <w:pitch w:val="default"/>
    <w:sig w:usb0="00000001" w:usb1="080E0000" w:usb2="00000000" w:usb3="00000000" w:csb0="00040000" w:csb1="00000000"/>
  </w:font>
  <w:font w:name="仿宋_GB2312">
    <w:panose1 w:val="02010609030101010101"/>
    <w:charset w:val="86"/>
    <w:family w:val="swiss"/>
    <w:pitch w:val="default"/>
    <w:sig w:usb0="00000001" w:usb1="080E0000" w:usb2="00000000" w:usb3="00000000" w:csb0="00040000" w:csb1="00000000"/>
  </w:font>
  <w:font w:name="仿宋">
    <w:panose1 w:val="02010609060101010101"/>
    <w:charset w:val="86"/>
    <w:family w:val="swiss"/>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ind w:left="420" w:leftChars="200" w:right="420" w:rightChars="200" w:firstLine="360"/>
    </w:pPr>
    <w:r>
      <w:rPr>
        <w:sz w:val="18"/>
      </w:rPr>
      <w:pict>
        <v:shape id="_x0000_s2050" o:spid="_x0000_s2050" o:spt="202" type="#_x0000_t202" style="position:absolute;left:0pt;margin-top:0pt;height:144pt;width:144pt;mso-position-horizontal:outside;mso-position-horizontal-relative:margin;mso-wrap-style:none;z-index:251660288;mso-width-relative:page;mso-height-relative:page;" filled="f" stroked="f" coordsize="21600,21600">
          <v:path/>
          <v:fill on="f" focussize="0,0"/>
          <v:stroke on="f"/>
          <v:imagedata o:title=""/>
          <o:lock v:ext="edit" aspectratio="f"/>
          <v:textbox inset="0mm,0mm,0mm,0mm" style="mso-fit-shape-to-text:t;">
            <w:txbxContent>
              <w:p>
                <w:pPr>
                  <w:pStyle w:val="3"/>
                  <w:ind w:left="420" w:leftChars="200" w:right="420" w:rightChars="200"/>
                  <w:rPr>
                    <w:rStyle w:val="10"/>
                    <w:rFonts w:ascii="宋体"/>
                    <w:sz w:val="28"/>
                    <w:szCs w:val="28"/>
                  </w:rPr>
                </w:pPr>
                <w:r>
                  <w:rPr>
                    <w:rStyle w:val="10"/>
                    <w:rFonts w:ascii="宋体" w:hAnsi="宋体"/>
                    <w:sz w:val="28"/>
                    <w:szCs w:val="28"/>
                  </w:rPr>
                  <w:fldChar w:fldCharType="begin"/>
                </w:r>
                <w:r>
                  <w:rPr>
                    <w:rStyle w:val="10"/>
                    <w:rFonts w:ascii="宋体" w:hAnsi="宋体"/>
                    <w:sz w:val="28"/>
                    <w:szCs w:val="28"/>
                  </w:rPr>
                  <w:instrText xml:space="preserve">PAGE  </w:instrText>
                </w:r>
                <w:r>
                  <w:rPr>
                    <w:rStyle w:val="10"/>
                    <w:rFonts w:ascii="宋体" w:hAnsi="宋体"/>
                    <w:sz w:val="28"/>
                    <w:szCs w:val="28"/>
                  </w:rPr>
                  <w:fldChar w:fldCharType="separate"/>
                </w:r>
                <w:r>
                  <w:rPr>
                    <w:rStyle w:val="10"/>
                    <w:rFonts w:ascii="宋体" w:hAnsi="宋体"/>
                    <w:sz w:val="28"/>
                    <w:szCs w:val="28"/>
                  </w:rPr>
                  <w:t>- 1 -</w:t>
                </w:r>
                <w:r>
                  <w:rPr>
                    <w:rStyle w:val="10"/>
                    <w:rFonts w:ascii="宋体" w:hAnsi="宋体"/>
                    <w:sz w:val="28"/>
                    <w:szCs w:val="28"/>
                  </w:rPr>
                  <w:fldChar w:fldCharType="end"/>
                </w:r>
              </w:p>
            </w:txbxContent>
          </v:textbox>
        </v:shap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ind w:right="360" w:firstLine="360"/>
    </w:pPr>
    <w:r>
      <w:rPr>
        <w:sz w:val="18"/>
      </w:rPr>
      <w:pict>
        <v:shape id="_x0000_s2051" o:spid="_x0000_s2051" o:spt="202" type="#_x0000_t202" style="position:absolute;left:0pt;margin-top:0pt;height:144pt;width:144pt;mso-position-horizontal:outside;mso-position-horizontal-relative:margin;mso-wrap-style:none;z-index:251661312;mso-width-relative:page;mso-height-relative:page;" filled="f" stroked="f" coordsize="21600,21600">
          <v:path/>
          <v:fill on="f" focussize="0,0"/>
          <v:stroke on="f"/>
          <v:imagedata o:title=""/>
          <o:lock v:ext="edit" aspectratio="f"/>
          <v:textbox inset="0mm,0mm,0mm,0mm" style="mso-fit-shape-to-text:t;">
            <w:txbxContent>
              <w:p>
                <w:pPr>
                  <w:pStyle w:val="3"/>
                  <w:ind w:left="420" w:leftChars="200" w:right="420" w:rightChars="200"/>
                  <w:rPr>
                    <w:rStyle w:val="10"/>
                    <w:rFonts w:ascii="宋体"/>
                    <w:sz w:val="28"/>
                    <w:szCs w:val="28"/>
                  </w:rPr>
                </w:pPr>
                <w:r>
                  <w:rPr>
                    <w:rStyle w:val="10"/>
                    <w:rFonts w:ascii="宋体" w:hAnsi="宋体"/>
                    <w:sz w:val="28"/>
                    <w:szCs w:val="28"/>
                  </w:rPr>
                  <w:fldChar w:fldCharType="begin"/>
                </w:r>
                <w:r>
                  <w:rPr>
                    <w:rStyle w:val="10"/>
                    <w:rFonts w:ascii="宋体" w:hAnsi="宋体"/>
                    <w:sz w:val="28"/>
                    <w:szCs w:val="28"/>
                  </w:rPr>
                  <w:instrText xml:space="preserve">PAGE  </w:instrText>
                </w:r>
                <w:r>
                  <w:rPr>
                    <w:rStyle w:val="10"/>
                    <w:rFonts w:ascii="宋体" w:hAnsi="宋体"/>
                    <w:sz w:val="28"/>
                    <w:szCs w:val="28"/>
                  </w:rPr>
                  <w:fldChar w:fldCharType="separate"/>
                </w:r>
                <w:r>
                  <w:rPr>
                    <w:rStyle w:val="10"/>
                    <w:rFonts w:ascii="宋体" w:hAnsi="宋体"/>
                    <w:sz w:val="28"/>
                    <w:szCs w:val="28"/>
                  </w:rPr>
                  <w:t>- 74 -</w:t>
                </w:r>
                <w:r>
                  <w:rPr>
                    <w:rStyle w:val="10"/>
                    <w:rFonts w:ascii="宋体" w:hAnsi="宋体"/>
                    <w:sz w:val="28"/>
                    <w:szCs w:val="28"/>
                  </w:rPr>
                  <w:fldChar w:fldCharType="end"/>
                </w:r>
              </w:p>
            </w:txbxContent>
          </v:textbox>
        </v:shape>
      </w:pic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top w:val="none" w:color="auto" w:sz="0" w:space="0"/>
        <w:left w:val="none" w:color="auto" w:sz="0" w:space="0"/>
        <w:bottom w:val="none" w:color="auto" w:sz="0" w:space="0"/>
        <w:right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3D37822E"/>
    <w:multiLevelType w:val="singleLevel"/>
    <w:tmpl w:val="3D37822E"/>
    <w:lvl w:ilvl="0" w:tentative="0">
      <w:start w:val="2"/>
      <w:numFmt w:val="chineseCounting"/>
      <w:suff w:val="space"/>
      <w:lvlText w:val="第%1节"/>
      <w:lvlJc w:val="left"/>
      <w:rPr>
        <w:rFonts w:hint="eastAsia" w:cs="Times New Roman"/>
      </w:rPr>
    </w:lvl>
  </w:abstractNum>
  <w:abstractNum w:abstractNumId="1">
    <w:nsid w:val="5FED7217"/>
    <w:multiLevelType w:val="multilevel"/>
    <w:tmpl w:val="5FED7217"/>
    <w:lvl w:ilvl="0" w:tentative="0">
      <w:start w:val="1"/>
      <w:numFmt w:val="decimal"/>
      <w:suff w:val="nothing"/>
      <w:lvlText w:val="%1、"/>
      <w:lvlJc w:val="left"/>
      <w:rPr>
        <w:rFonts w:cs="Times New Roman"/>
      </w:rPr>
    </w:lvl>
    <w:lvl w:ilvl="1" w:tentative="0">
      <w:start w:val="1"/>
      <w:numFmt w:val="decimal"/>
      <w:lvlText w:val="%2."/>
      <w:lvlJc w:val="left"/>
      <w:pPr>
        <w:tabs>
          <w:tab w:val="left" w:pos="1440"/>
        </w:tabs>
        <w:ind w:left="1440" w:hanging="360"/>
      </w:pPr>
      <w:rPr>
        <w:rFonts w:cs="Times New Roman"/>
      </w:rPr>
    </w:lvl>
    <w:lvl w:ilvl="2" w:tentative="0">
      <w:start w:val="1"/>
      <w:numFmt w:val="decimal"/>
      <w:lvlText w:val="%3."/>
      <w:lvlJc w:val="left"/>
      <w:pPr>
        <w:tabs>
          <w:tab w:val="left" w:pos="2160"/>
        </w:tabs>
        <w:ind w:left="2160" w:hanging="360"/>
      </w:pPr>
      <w:rPr>
        <w:rFonts w:cs="Times New Roman"/>
      </w:rPr>
    </w:lvl>
    <w:lvl w:ilvl="3" w:tentative="0">
      <w:start w:val="1"/>
      <w:numFmt w:val="decimal"/>
      <w:lvlText w:val="%4."/>
      <w:lvlJc w:val="left"/>
      <w:pPr>
        <w:tabs>
          <w:tab w:val="left" w:pos="2880"/>
        </w:tabs>
        <w:ind w:left="2880" w:hanging="360"/>
      </w:pPr>
      <w:rPr>
        <w:rFonts w:cs="Times New Roman"/>
      </w:rPr>
    </w:lvl>
    <w:lvl w:ilvl="4" w:tentative="0">
      <w:start w:val="1"/>
      <w:numFmt w:val="decimal"/>
      <w:lvlText w:val="%5."/>
      <w:lvlJc w:val="left"/>
      <w:pPr>
        <w:tabs>
          <w:tab w:val="left" w:pos="3600"/>
        </w:tabs>
        <w:ind w:left="3600" w:hanging="360"/>
      </w:pPr>
      <w:rPr>
        <w:rFonts w:cs="Times New Roman"/>
      </w:rPr>
    </w:lvl>
    <w:lvl w:ilvl="5" w:tentative="0">
      <w:start w:val="1"/>
      <w:numFmt w:val="decimal"/>
      <w:lvlText w:val="%6."/>
      <w:lvlJc w:val="left"/>
      <w:pPr>
        <w:tabs>
          <w:tab w:val="left" w:pos="4320"/>
        </w:tabs>
        <w:ind w:left="4320" w:hanging="360"/>
      </w:pPr>
      <w:rPr>
        <w:rFonts w:cs="Times New Roman"/>
      </w:rPr>
    </w:lvl>
    <w:lvl w:ilvl="6" w:tentative="0">
      <w:start w:val="1"/>
      <w:numFmt w:val="decimal"/>
      <w:lvlText w:val="%7."/>
      <w:lvlJc w:val="left"/>
      <w:pPr>
        <w:tabs>
          <w:tab w:val="left" w:pos="5040"/>
        </w:tabs>
        <w:ind w:left="5040" w:hanging="360"/>
      </w:pPr>
      <w:rPr>
        <w:rFonts w:cs="Times New Roman"/>
      </w:rPr>
    </w:lvl>
    <w:lvl w:ilvl="7" w:tentative="0">
      <w:start w:val="1"/>
      <w:numFmt w:val="decimal"/>
      <w:lvlText w:val="%8."/>
      <w:lvlJc w:val="left"/>
      <w:pPr>
        <w:tabs>
          <w:tab w:val="left" w:pos="5760"/>
        </w:tabs>
        <w:ind w:left="5760" w:hanging="360"/>
      </w:pPr>
      <w:rPr>
        <w:rFonts w:cs="Times New Roman"/>
      </w:rPr>
    </w:lvl>
    <w:lvl w:ilvl="8" w:tentative="0">
      <w:start w:val="1"/>
      <w:numFmt w:val="decimal"/>
      <w:lvlText w:val="%9."/>
      <w:lvlJc w:val="left"/>
      <w:pPr>
        <w:tabs>
          <w:tab w:val="left" w:pos="6480"/>
        </w:tabs>
        <w:ind w:left="6480" w:hanging="360"/>
      </w:pPr>
      <w:rPr>
        <w:rFonts w:cs="Times New Roman"/>
      </w:rPr>
    </w:lvl>
  </w:abstractNum>
  <w:abstractNum w:abstractNumId="2">
    <w:nsid w:val="5FED7222"/>
    <w:multiLevelType w:val="multilevel"/>
    <w:tmpl w:val="5FED7222"/>
    <w:lvl w:ilvl="0" w:tentative="0">
      <w:start w:val="10"/>
      <w:numFmt w:val="decimal"/>
      <w:suff w:val="nothing"/>
      <w:lvlText w:val="%1、"/>
      <w:lvlJc w:val="left"/>
      <w:rPr>
        <w:rFonts w:cs="Times New Roman"/>
      </w:rPr>
    </w:lvl>
    <w:lvl w:ilvl="1" w:tentative="0">
      <w:start w:val="1"/>
      <w:numFmt w:val="decimal"/>
      <w:lvlText w:val="%2."/>
      <w:lvlJc w:val="left"/>
      <w:pPr>
        <w:tabs>
          <w:tab w:val="left" w:pos="1440"/>
        </w:tabs>
        <w:ind w:left="1440" w:hanging="360"/>
      </w:pPr>
      <w:rPr>
        <w:rFonts w:cs="Times New Roman"/>
      </w:rPr>
    </w:lvl>
    <w:lvl w:ilvl="2" w:tentative="0">
      <w:start w:val="1"/>
      <w:numFmt w:val="decimal"/>
      <w:lvlText w:val="%3."/>
      <w:lvlJc w:val="left"/>
      <w:pPr>
        <w:tabs>
          <w:tab w:val="left" w:pos="2160"/>
        </w:tabs>
        <w:ind w:left="2160" w:hanging="360"/>
      </w:pPr>
      <w:rPr>
        <w:rFonts w:cs="Times New Roman"/>
      </w:rPr>
    </w:lvl>
    <w:lvl w:ilvl="3" w:tentative="0">
      <w:start w:val="1"/>
      <w:numFmt w:val="decimal"/>
      <w:lvlText w:val="%4."/>
      <w:lvlJc w:val="left"/>
      <w:pPr>
        <w:tabs>
          <w:tab w:val="left" w:pos="2880"/>
        </w:tabs>
        <w:ind w:left="2880" w:hanging="360"/>
      </w:pPr>
      <w:rPr>
        <w:rFonts w:cs="Times New Roman"/>
      </w:rPr>
    </w:lvl>
    <w:lvl w:ilvl="4" w:tentative="0">
      <w:start w:val="1"/>
      <w:numFmt w:val="decimal"/>
      <w:lvlText w:val="%5."/>
      <w:lvlJc w:val="left"/>
      <w:pPr>
        <w:tabs>
          <w:tab w:val="left" w:pos="3600"/>
        </w:tabs>
        <w:ind w:left="3600" w:hanging="360"/>
      </w:pPr>
      <w:rPr>
        <w:rFonts w:cs="Times New Roman"/>
      </w:rPr>
    </w:lvl>
    <w:lvl w:ilvl="5" w:tentative="0">
      <w:start w:val="1"/>
      <w:numFmt w:val="decimal"/>
      <w:lvlText w:val="%6."/>
      <w:lvlJc w:val="left"/>
      <w:pPr>
        <w:tabs>
          <w:tab w:val="left" w:pos="4320"/>
        </w:tabs>
        <w:ind w:left="4320" w:hanging="360"/>
      </w:pPr>
      <w:rPr>
        <w:rFonts w:cs="Times New Roman"/>
      </w:rPr>
    </w:lvl>
    <w:lvl w:ilvl="6" w:tentative="0">
      <w:start w:val="1"/>
      <w:numFmt w:val="decimal"/>
      <w:lvlText w:val="%7."/>
      <w:lvlJc w:val="left"/>
      <w:pPr>
        <w:tabs>
          <w:tab w:val="left" w:pos="5040"/>
        </w:tabs>
        <w:ind w:left="5040" w:hanging="360"/>
      </w:pPr>
      <w:rPr>
        <w:rFonts w:cs="Times New Roman"/>
      </w:rPr>
    </w:lvl>
    <w:lvl w:ilvl="7" w:tentative="0">
      <w:start w:val="1"/>
      <w:numFmt w:val="decimal"/>
      <w:lvlText w:val="%8."/>
      <w:lvlJc w:val="left"/>
      <w:pPr>
        <w:tabs>
          <w:tab w:val="left" w:pos="5760"/>
        </w:tabs>
        <w:ind w:left="5760" w:hanging="360"/>
      </w:pPr>
      <w:rPr>
        <w:rFonts w:cs="Times New Roman"/>
      </w:rPr>
    </w:lvl>
    <w:lvl w:ilvl="8" w:tentative="0">
      <w:start w:val="1"/>
      <w:numFmt w:val="decimal"/>
      <w:lvlText w:val="%9."/>
      <w:lvlJc w:val="left"/>
      <w:pPr>
        <w:tabs>
          <w:tab w:val="left" w:pos="6480"/>
        </w:tabs>
        <w:ind w:left="6480" w:hanging="360"/>
      </w:pPr>
      <w:rPr>
        <w:rFonts w:cs="Times New Roman"/>
      </w:rPr>
    </w:lvl>
  </w:abstractNum>
  <w:abstractNum w:abstractNumId="3">
    <w:nsid w:val="5FED722D"/>
    <w:multiLevelType w:val="multilevel"/>
    <w:tmpl w:val="5FED722D"/>
    <w:lvl w:ilvl="0" w:tentative="0">
      <w:start w:val="12"/>
      <w:numFmt w:val="decimal"/>
      <w:suff w:val="nothing"/>
      <w:lvlText w:val="%1、"/>
      <w:lvlJc w:val="left"/>
      <w:rPr>
        <w:rFonts w:cs="Times New Roman"/>
      </w:rPr>
    </w:lvl>
    <w:lvl w:ilvl="1" w:tentative="0">
      <w:start w:val="1"/>
      <w:numFmt w:val="decimal"/>
      <w:lvlText w:val="%2."/>
      <w:lvlJc w:val="left"/>
      <w:pPr>
        <w:tabs>
          <w:tab w:val="left" w:pos="1440"/>
        </w:tabs>
        <w:ind w:left="1440" w:hanging="360"/>
      </w:pPr>
      <w:rPr>
        <w:rFonts w:cs="Times New Roman"/>
      </w:rPr>
    </w:lvl>
    <w:lvl w:ilvl="2" w:tentative="0">
      <w:start w:val="1"/>
      <w:numFmt w:val="decimal"/>
      <w:lvlText w:val="%3."/>
      <w:lvlJc w:val="left"/>
      <w:pPr>
        <w:tabs>
          <w:tab w:val="left" w:pos="2160"/>
        </w:tabs>
        <w:ind w:left="2160" w:hanging="360"/>
      </w:pPr>
      <w:rPr>
        <w:rFonts w:cs="Times New Roman"/>
      </w:rPr>
    </w:lvl>
    <w:lvl w:ilvl="3" w:tentative="0">
      <w:start w:val="1"/>
      <w:numFmt w:val="decimal"/>
      <w:lvlText w:val="%4."/>
      <w:lvlJc w:val="left"/>
      <w:pPr>
        <w:tabs>
          <w:tab w:val="left" w:pos="2880"/>
        </w:tabs>
        <w:ind w:left="2880" w:hanging="360"/>
      </w:pPr>
      <w:rPr>
        <w:rFonts w:cs="Times New Roman"/>
      </w:rPr>
    </w:lvl>
    <w:lvl w:ilvl="4" w:tentative="0">
      <w:start w:val="1"/>
      <w:numFmt w:val="decimal"/>
      <w:lvlText w:val="%5."/>
      <w:lvlJc w:val="left"/>
      <w:pPr>
        <w:tabs>
          <w:tab w:val="left" w:pos="3600"/>
        </w:tabs>
        <w:ind w:left="3600" w:hanging="360"/>
      </w:pPr>
      <w:rPr>
        <w:rFonts w:cs="Times New Roman"/>
      </w:rPr>
    </w:lvl>
    <w:lvl w:ilvl="5" w:tentative="0">
      <w:start w:val="1"/>
      <w:numFmt w:val="decimal"/>
      <w:lvlText w:val="%6."/>
      <w:lvlJc w:val="left"/>
      <w:pPr>
        <w:tabs>
          <w:tab w:val="left" w:pos="4320"/>
        </w:tabs>
        <w:ind w:left="4320" w:hanging="360"/>
      </w:pPr>
      <w:rPr>
        <w:rFonts w:cs="Times New Roman"/>
      </w:rPr>
    </w:lvl>
    <w:lvl w:ilvl="6" w:tentative="0">
      <w:start w:val="1"/>
      <w:numFmt w:val="decimal"/>
      <w:lvlText w:val="%7."/>
      <w:lvlJc w:val="left"/>
      <w:pPr>
        <w:tabs>
          <w:tab w:val="left" w:pos="5040"/>
        </w:tabs>
        <w:ind w:left="5040" w:hanging="360"/>
      </w:pPr>
      <w:rPr>
        <w:rFonts w:cs="Times New Roman"/>
      </w:rPr>
    </w:lvl>
    <w:lvl w:ilvl="7" w:tentative="0">
      <w:start w:val="1"/>
      <w:numFmt w:val="decimal"/>
      <w:lvlText w:val="%8."/>
      <w:lvlJc w:val="left"/>
      <w:pPr>
        <w:tabs>
          <w:tab w:val="left" w:pos="5760"/>
        </w:tabs>
        <w:ind w:left="5760" w:hanging="360"/>
      </w:pPr>
      <w:rPr>
        <w:rFonts w:cs="Times New Roman"/>
      </w:rPr>
    </w:lvl>
    <w:lvl w:ilvl="8" w:tentative="0">
      <w:start w:val="1"/>
      <w:numFmt w:val="decimal"/>
      <w:lvlText w:val="%9."/>
      <w:lvlJc w:val="left"/>
      <w:pPr>
        <w:tabs>
          <w:tab w:val="left" w:pos="6480"/>
        </w:tabs>
        <w:ind w:left="6480" w:hanging="360"/>
      </w:pPr>
      <w:rPr>
        <w:rFonts w:cs="Times New Roman"/>
      </w:rPr>
    </w:lvl>
  </w:abstractNum>
  <w:abstractNum w:abstractNumId="4">
    <w:nsid w:val="5FED7238"/>
    <w:multiLevelType w:val="multilevel"/>
    <w:tmpl w:val="5FED7238"/>
    <w:lvl w:ilvl="0" w:tentative="0">
      <w:start w:val="16"/>
      <w:numFmt w:val="decimal"/>
      <w:suff w:val="nothing"/>
      <w:lvlText w:val="%1、"/>
      <w:lvlJc w:val="left"/>
      <w:rPr>
        <w:rFonts w:cs="Times New Roman"/>
      </w:rPr>
    </w:lvl>
    <w:lvl w:ilvl="1" w:tentative="0">
      <w:start w:val="1"/>
      <w:numFmt w:val="decimal"/>
      <w:lvlText w:val="%2."/>
      <w:lvlJc w:val="left"/>
      <w:pPr>
        <w:tabs>
          <w:tab w:val="left" w:pos="1440"/>
        </w:tabs>
        <w:ind w:left="1440" w:hanging="360"/>
      </w:pPr>
      <w:rPr>
        <w:rFonts w:cs="Times New Roman"/>
      </w:rPr>
    </w:lvl>
    <w:lvl w:ilvl="2" w:tentative="0">
      <w:start w:val="1"/>
      <w:numFmt w:val="decimal"/>
      <w:lvlText w:val="%3."/>
      <w:lvlJc w:val="left"/>
      <w:pPr>
        <w:tabs>
          <w:tab w:val="left" w:pos="2160"/>
        </w:tabs>
        <w:ind w:left="2160" w:hanging="360"/>
      </w:pPr>
      <w:rPr>
        <w:rFonts w:cs="Times New Roman"/>
      </w:rPr>
    </w:lvl>
    <w:lvl w:ilvl="3" w:tentative="0">
      <w:start w:val="1"/>
      <w:numFmt w:val="decimal"/>
      <w:lvlText w:val="%4."/>
      <w:lvlJc w:val="left"/>
      <w:pPr>
        <w:tabs>
          <w:tab w:val="left" w:pos="2880"/>
        </w:tabs>
        <w:ind w:left="2880" w:hanging="360"/>
      </w:pPr>
      <w:rPr>
        <w:rFonts w:cs="Times New Roman"/>
      </w:rPr>
    </w:lvl>
    <w:lvl w:ilvl="4" w:tentative="0">
      <w:start w:val="1"/>
      <w:numFmt w:val="decimal"/>
      <w:lvlText w:val="%5."/>
      <w:lvlJc w:val="left"/>
      <w:pPr>
        <w:tabs>
          <w:tab w:val="left" w:pos="3600"/>
        </w:tabs>
        <w:ind w:left="3600" w:hanging="360"/>
      </w:pPr>
      <w:rPr>
        <w:rFonts w:cs="Times New Roman"/>
      </w:rPr>
    </w:lvl>
    <w:lvl w:ilvl="5" w:tentative="0">
      <w:start w:val="1"/>
      <w:numFmt w:val="decimal"/>
      <w:lvlText w:val="%6."/>
      <w:lvlJc w:val="left"/>
      <w:pPr>
        <w:tabs>
          <w:tab w:val="left" w:pos="4320"/>
        </w:tabs>
        <w:ind w:left="4320" w:hanging="360"/>
      </w:pPr>
      <w:rPr>
        <w:rFonts w:cs="Times New Roman"/>
      </w:rPr>
    </w:lvl>
    <w:lvl w:ilvl="6" w:tentative="0">
      <w:start w:val="1"/>
      <w:numFmt w:val="decimal"/>
      <w:lvlText w:val="%7."/>
      <w:lvlJc w:val="left"/>
      <w:pPr>
        <w:tabs>
          <w:tab w:val="left" w:pos="5040"/>
        </w:tabs>
        <w:ind w:left="5040" w:hanging="360"/>
      </w:pPr>
      <w:rPr>
        <w:rFonts w:cs="Times New Roman"/>
      </w:rPr>
    </w:lvl>
    <w:lvl w:ilvl="7" w:tentative="0">
      <w:start w:val="1"/>
      <w:numFmt w:val="decimal"/>
      <w:lvlText w:val="%8."/>
      <w:lvlJc w:val="left"/>
      <w:pPr>
        <w:tabs>
          <w:tab w:val="left" w:pos="5760"/>
        </w:tabs>
        <w:ind w:left="5760" w:hanging="360"/>
      </w:pPr>
      <w:rPr>
        <w:rFonts w:cs="Times New Roman"/>
      </w:rPr>
    </w:lvl>
    <w:lvl w:ilvl="8" w:tentative="0">
      <w:start w:val="1"/>
      <w:numFmt w:val="decimal"/>
      <w:lvlText w:val="%9."/>
      <w:lvlJc w:val="left"/>
      <w:pPr>
        <w:tabs>
          <w:tab w:val="left" w:pos="6480"/>
        </w:tabs>
        <w:ind w:left="6480" w:hanging="360"/>
      </w:pPr>
      <w:rPr>
        <w:rFonts w:cs="Times New Roman"/>
      </w:rPr>
    </w:lvl>
  </w:abstractNum>
  <w:num w:numId="1">
    <w:abstractNumId w:val="0"/>
  </w:num>
  <w:num w:numId="2">
    <w:abstractNumId w:val="1"/>
    <w:lvlOverride w:ilvl="0">
      <w:startOverride w:val="1"/>
    </w:lvlOverride>
  </w:num>
  <w:num w:numId="3">
    <w:abstractNumId w:val="2"/>
    <w:lvlOverride w:ilvl="0">
      <w:startOverride w:val="10"/>
    </w:lvlOverride>
  </w:num>
  <w:num w:numId="4">
    <w:abstractNumId w:val="3"/>
    <w:lvlOverride w:ilvl="0">
      <w:startOverride w:val="12"/>
    </w:lvlOverride>
  </w:num>
  <w:num w:numId="5">
    <w:abstractNumId w:val="4"/>
    <w:lvlOverride w:ilvl="0">
      <w:startOverride w:val="16"/>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VerticalSpacing w:val="160"/>
  <w:displayHorizontalDrawingGridEvery w:val="0"/>
  <w:displayVerticalDrawingGridEvery w:val="2"/>
  <w:characterSpacingControl w:val="compressPunctuation"/>
  <w:noLineBreaksAfter w:lang="zh-CN" w:val="$([{£¥·‘“〈《「『【〔〖〝﹙﹛﹝＄（．［｛￡￥"/>
  <w:noLineBreaksBefore w:lang="zh-CN" w:val="!%),.:;&gt;?]}¢¨°·ˇˉ―‖’”…‰′″›℃∶、。〃〉》」』】〕〗〞︶︺︾﹀﹄﹚﹜﹞！＂％＇），．：；？］｀｜｝～￠"/>
  <w:hdrShapeDefaults>
    <o:shapelayout v:ext="edit">
      <o:idmap v:ext="edit" data="2"/>
    </o:shapelayout>
  </w:hdrShapeDefaults>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docVars>
    <w:docVar w:name="commondata" w:val="eyJoZGlkIjoiODQxMzgwMTBkNjZkMjNjNmJiYTRkOTk2ODZkZmFmN2EifQ=="/>
  </w:docVars>
  <w:rsids>
    <w:rsidRoot w:val="599801EB"/>
    <w:rsid w:val="00040377"/>
    <w:rsid w:val="000C4622"/>
    <w:rsid w:val="00282EF8"/>
    <w:rsid w:val="002B7F24"/>
    <w:rsid w:val="002D168B"/>
    <w:rsid w:val="002E2710"/>
    <w:rsid w:val="004064EB"/>
    <w:rsid w:val="004D47EF"/>
    <w:rsid w:val="004E047A"/>
    <w:rsid w:val="004F109E"/>
    <w:rsid w:val="005C61B5"/>
    <w:rsid w:val="00606852"/>
    <w:rsid w:val="0061744C"/>
    <w:rsid w:val="006E3955"/>
    <w:rsid w:val="0074016E"/>
    <w:rsid w:val="007D25FD"/>
    <w:rsid w:val="00A0051E"/>
    <w:rsid w:val="00C1375F"/>
    <w:rsid w:val="00CB134B"/>
    <w:rsid w:val="00D068E3"/>
    <w:rsid w:val="00E959DF"/>
    <w:rsid w:val="00EC4E65"/>
    <w:rsid w:val="00F24AD3"/>
    <w:rsid w:val="00F743BC"/>
    <w:rsid w:val="00FF2EA6"/>
    <w:rsid w:val="01F01F66"/>
    <w:rsid w:val="023B7260"/>
    <w:rsid w:val="05224326"/>
    <w:rsid w:val="06FD0730"/>
    <w:rsid w:val="080C3FE1"/>
    <w:rsid w:val="0BF11B2A"/>
    <w:rsid w:val="0C2C135D"/>
    <w:rsid w:val="0DC92CE5"/>
    <w:rsid w:val="0E2E3215"/>
    <w:rsid w:val="0ED372C1"/>
    <w:rsid w:val="0F922A3D"/>
    <w:rsid w:val="102B144F"/>
    <w:rsid w:val="109D7D19"/>
    <w:rsid w:val="13E92033"/>
    <w:rsid w:val="1460724E"/>
    <w:rsid w:val="14C21BD8"/>
    <w:rsid w:val="150738D7"/>
    <w:rsid w:val="155449C8"/>
    <w:rsid w:val="15B74AC9"/>
    <w:rsid w:val="16F13E73"/>
    <w:rsid w:val="181A6F34"/>
    <w:rsid w:val="1A196364"/>
    <w:rsid w:val="1A990F30"/>
    <w:rsid w:val="1B520A8E"/>
    <w:rsid w:val="1B943CE2"/>
    <w:rsid w:val="1BB25754"/>
    <w:rsid w:val="1C6508B4"/>
    <w:rsid w:val="1FDB4B0B"/>
    <w:rsid w:val="1FDF6AF8"/>
    <w:rsid w:val="200551B9"/>
    <w:rsid w:val="200D6DF5"/>
    <w:rsid w:val="2188106B"/>
    <w:rsid w:val="22533F64"/>
    <w:rsid w:val="2335314A"/>
    <w:rsid w:val="23BD7DC6"/>
    <w:rsid w:val="264F44DF"/>
    <w:rsid w:val="270E57DC"/>
    <w:rsid w:val="2A7C02AF"/>
    <w:rsid w:val="2D58340F"/>
    <w:rsid w:val="2DB664DF"/>
    <w:rsid w:val="2E3E287A"/>
    <w:rsid w:val="2FAD2034"/>
    <w:rsid w:val="2FAE429C"/>
    <w:rsid w:val="2FEC0585"/>
    <w:rsid w:val="3019417B"/>
    <w:rsid w:val="30A716A6"/>
    <w:rsid w:val="312F2C1E"/>
    <w:rsid w:val="314F6857"/>
    <w:rsid w:val="33E12BE8"/>
    <w:rsid w:val="34DD0170"/>
    <w:rsid w:val="36F31E06"/>
    <w:rsid w:val="37E712CC"/>
    <w:rsid w:val="38C847B1"/>
    <w:rsid w:val="38D956BF"/>
    <w:rsid w:val="3943357F"/>
    <w:rsid w:val="3A737A27"/>
    <w:rsid w:val="3C4029E2"/>
    <w:rsid w:val="3ED971DC"/>
    <w:rsid w:val="40574EDA"/>
    <w:rsid w:val="41ED4405"/>
    <w:rsid w:val="4217072D"/>
    <w:rsid w:val="457A5BDA"/>
    <w:rsid w:val="4664628D"/>
    <w:rsid w:val="49BA6A23"/>
    <w:rsid w:val="49E6183E"/>
    <w:rsid w:val="4A016866"/>
    <w:rsid w:val="4A0807D1"/>
    <w:rsid w:val="4B202C5A"/>
    <w:rsid w:val="4B404A87"/>
    <w:rsid w:val="4B89445B"/>
    <w:rsid w:val="4CE8180C"/>
    <w:rsid w:val="4D8E08C3"/>
    <w:rsid w:val="4DF6471C"/>
    <w:rsid w:val="4E1A6770"/>
    <w:rsid w:val="51B6569F"/>
    <w:rsid w:val="523C7841"/>
    <w:rsid w:val="52EE7A1C"/>
    <w:rsid w:val="54743150"/>
    <w:rsid w:val="54FA1A81"/>
    <w:rsid w:val="5678486B"/>
    <w:rsid w:val="576B38F2"/>
    <w:rsid w:val="57A46368"/>
    <w:rsid w:val="57BF6233"/>
    <w:rsid w:val="599801EB"/>
    <w:rsid w:val="59DE70CA"/>
    <w:rsid w:val="5B7A30BA"/>
    <w:rsid w:val="5D543608"/>
    <w:rsid w:val="5DA62324"/>
    <w:rsid w:val="5E4F7805"/>
    <w:rsid w:val="6026650C"/>
    <w:rsid w:val="60973C7A"/>
    <w:rsid w:val="625D5CFC"/>
    <w:rsid w:val="6351795B"/>
    <w:rsid w:val="639A55BE"/>
    <w:rsid w:val="642513AF"/>
    <w:rsid w:val="648C77EA"/>
    <w:rsid w:val="66D91DB7"/>
    <w:rsid w:val="67170210"/>
    <w:rsid w:val="67850E31"/>
    <w:rsid w:val="69386563"/>
    <w:rsid w:val="698545FD"/>
    <w:rsid w:val="69CE6CB0"/>
    <w:rsid w:val="6ACA7AA5"/>
    <w:rsid w:val="6B784AA9"/>
    <w:rsid w:val="6C656973"/>
    <w:rsid w:val="6C93546F"/>
    <w:rsid w:val="6CF03FAB"/>
    <w:rsid w:val="70B1092F"/>
    <w:rsid w:val="7192431C"/>
    <w:rsid w:val="71AB0A9E"/>
    <w:rsid w:val="72164F7F"/>
    <w:rsid w:val="737B746F"/>
    <w:rsid w:val="73E76131"/>
    <w:rsid w:val="74166016"/>
    <w:rsid w:val="743C74EE"/>
    <w:rsid w:val="746A06B2"/>
    <w:rsid w:val="746F2C50"/>
    <w:rsid w:val="78DA40F7"/>
    <w:rsid w:val="791A56E2"/>
    <w:rsid w:val="7A715C49"/>
    <w:rsid w:val="7B1975F0"/>
    <w:rsid w:val="7C9B547B"/>
    <w:rsid w:val="7D062A27"/>
    <w:rsid w:val="7D810EF0"/>
    <w:rsid w:val="7E242663"/>
    <w:rsid w:val="7F6B7DC9"/>
  </w:rsids>
  <m:mathPr>
    <m:brkBin m:val="before"/>
    <m:brkBinSub m:val="--"/>
    <m:smallFrac m:val="0"/>
    <m:dispDef/>
    <m:lMargin m:val="0"/>
    <m:rMargin m:val="0"/>
    <m:defJc m:val="centerGroup"/>
    <m:wrapIndent m:val="1440"/>
    <m:intLim m:val="subSup"/>
    <m:naryLim m:val="undOvr"/>
  </m:mathPr>
  <w:doNotAutoCompressPictures/>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ocked="1"/>
    <w:lsdException w:qFormat="1" w:uiPriority="0" w:name="heading 2" w:locked="1"/>
    <w:lsdException w:qFormat="1" w:uiPriority="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nhideWhenUsed="0" w:uiPriority="99" w:semiHidden="0" w:name="toc 1"/>
    <w:lsdException w:unhideWhenUsed="0" w:uiPriority="99" w:semiHidden="0"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nhideWhenUsed="0" w:uiPriority="99" w:semiHidden="0" w:name="header"/>
    <w:lsdException w:qFormat="1" w:unhideWhenUsed="0" w:uiPriority="99" w:semiHidden="0" w:name="footer"/>
    <w:lsdException w:uiPriority="99" w:name="index heading"/>
    <w:lsdException w:qFormat="1" w:uiPriority="0" w:name="caption" w:locked="1"/>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nhideWhenUsed="0" w:uiPriority="99"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ocked="1"/>
    <w:lsdException w:uiPriority="99" w:name="Closing"/>
    <w:lsdException w:uiPriority="99" w:name="Signature"/>
    <w:lsdException w:unhideWhenUsed="0" w:uiPriority="99" w:name="Default Paragraph Font"/>
    <w:lsdException w:unhideWhenUsed="0" w:uiPriority="99"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ocked="1"/>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nhideWhenUsed="0" w:uiPriority="99" w:semiHidden="0" w:name="Hyperlink"/>
    <w:lsdException w:unhideWhenUsed="0" w:uiPriority="99" w:semiHidden="0" w:name="FollowedHyperlink"/>
    <w:lsdException w:qFormat="1" w:unhideWhenUsed="0" w:uiPriority="0" w:semiHidden="0" w:name="Strong" w:locked="1"/>
    <w:lsdException w:qFormat="1" w:unhideWhenUsed="0" w:uiPriority="0" w:semiHidden="0" w:name="Emphasis" w:locked="1"/>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9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character" w:default="1" w:styleId="9">
    <w:name w:val="Default Paragraph Font"/>
    <w:semiHidden/>
    <w:uiPriority w:val="99"/>
  </w:style>
  <w:style w:type="table" w:default="1" w:styleId="7">
    <w:name w:val="Normal Table"/>
    <w:unhideWhenUsed/>
    <w:qFormat/>
    <w:uiPriority w:val="99"/>
    <w:tblPr>
      <w:tblCellMar>
        <w:top w:w="0" w:type="dxa"/>
        <w:left w:w="108" w:type="dxa"/>
        <w:bottom w:w="0" w:type="dxa"/>
        <w:right w:w="108" w:type="dxa"/>
      </w:tblCellMar>
    </w:tblPr>
  </w:style>
  <w:style w:type="paragraph" w:styleId="2">
    <w:name w:val="Body Text"/>
    <w:basedOn w:val="1"/>
    <w:link w:val="13"/>
    <w:uiPriority w:val="99"/>
    <w:pPr>
      <w:spacing w:after="120"/>
    </w:pPr>
  </w:style>
  <w:style w:type="paragraph" w:styleId="3">
    <w:name w:val="footer"/>
    <w:basedOn w:val="1"/>
    <w:link w:val="14"/>
    <w:qFormat/>
    <w:uiPriority w:val="99"/>
    <w:pPr>
      <w:tabs>
        <w:tab w:val="center" w:pos="4153"/>
        <w:tab w:val="right" w:pos="8306"/>
      </w:tabs>
    </w:pPr>
    <w:rPr>
      <w:rFonts w:ascii="Times New Roman" w:hAnsi="Times New Roman"/>
      <w:sz w:val="18"/>
      <w:szCs w:val="18"/>
    </w:rPr>
  </w:style>
  <w:style w:type="paragraph" w:styleId="4">
    <w:name w:val="header"/>
    <w:basedOn w:val="1"/>
    <w:link w:val="15"/>
    <w:uiPriority w:val="99"/>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5">
    <w:name w:val="toc 1"/>
    <w:basedOn w:val="1"/>
    <w:next w:val="1"/>
    <w:uiPriority w:val="99"/>
  </w:style>
  <w:style w:type="paragraph" w:styleId="6">
    <w:name w:val="toc 2"/>
    <w:basedOn w:val="1"/>
    <w:next w:val="1"/>
    <w:uiPriority w:val="99"/>
    <w:pPr>
      <w:ind w:left="420" w:leftChars="200"/>
    </w:pPr>
  </w:style>
  <w:style w:type="table" w:styleId="8">
    <w:name w:val="Table Grid"/>
    <w:basedOn w:val="7"/>
    <w:uiPriority w:val="99"/>
    <w:rPr>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0">
    <w:name w:val="page number"/>
    <w:basedOn w:val="9"/>
    <w:uiPriority w:val="99"/>
    <w:rPr>
      <w:rFonts w:cs="Times New Roman"/>
    </w:rPr>
  </w:style>
  <w:style w:type="character" w:styleId="11">
    <w:name w:val="FollowedHyperlink"/>
    <w:basedOn w:val="9"/>
    <w:uiPriority w:val="99"/>
    <w:rPr>
      <w:rFonts w:cs="Times New Roman"/>
      <w:color w:val="800080"/>
      <w:u w:val="single"/>
    </w:rPr>
  </w:style>
  <w:style w:type="character" w:styleId="12">
    <w:name w:val="Hyperlink"/>
    <w:basedOn w:val="9"/>
    <w:uiPriority w:val="99"/>
    <w:rPr>
      <w:rFonts w:cs="Times New Roman"/>
      <w:color w:val="0000FF"/>
      <w:u w:val="single"/>
    </w:rPr>
  </w:style>
  <w:style w:type="character" w:customStyle="1" w:styleId="13">
    <w:name w:val="Body Text Char"/>
    <w:basedOn w:val="9"/>
    <w:link w:val="2"/>
    <w:semiHidden/>
    <w:qFormat/>
    <w:locked/>
    <w:uiPriority w:val="99"/>
    <w:rPr>
      <w:rFonts w:ascii="Calibri" w:hAnsi="Calibri" w:eastAsia="宋体" w:cs="Times New Roman"/>
      <w:kern w:val="2"/>
      <w:sz w:val="24"/>
      <w:szCs w:val="24"/>
      <w:lang w:val="en-US" w:eastAsia="zh-CN" w:bidi="ar-SA"/>
    </w:rPr>
  </w:style>
  <w:style w:type="character" w:customStyle="1" w:styleId="14">
    <w:name w:val="Footer Char"/>
    <w:basedOn w:val="9"/>
    <w:link w:val="3"/>
    <w:semiHidden/>
    <w:qFormat/>
    <w:locked/>
    <w:uiPriority w:val="99"/>
    <w:rPr>
      <w:rFonts w:eastAsia="宋体" w:cs="Times New Roman"/>
      <w:kern w:val="2"/>
      <w:sz w:val="18"/>
      <w:szCs w:val="18"/>
      <w:lang w:val="en-US" w:eastAsia="zh-CN" w:bidi="ar-SA"/>
    </w:rPr>
  </w:style>
  <w:style w:type="character" w:customStyle="1" w:styleId="15">
    <w:name w:val="Header Char"/>
    <w:basedOn w:val="9"/>
    <w:link w:val="4"/>
    <w:semiHidden/>
    <w:uiPriority w:val="99"/>
    <w:rPr>
      <w:rFonts w:ascii="Calibri" w:hAnsi="Calibri"/>
      <w:sz w:val="18"/>
      <w:szCs w:val="18"/>
    </w:rPr>
  </w:style>
  <w:style w:type="paragraph" w:customStyle="1" w:styleId="16">
    <w:name w:val="p0"/>
    <w:basedOn w:val="1"/>
    <w:uiPriority w:val="99"/>
    <w:pPr>
      <w:widowControl/>
    </w:pPr>
    <w:rPr>
      <w:rFonts w:cs="宋体"/>
      <w:kern w:val="0"/>
      <w:szCs w:val="21"/>
    </w:rPr>
  </w:style>
  <w:style w:type="paragraph" w:customStyle="1" w:styleId="17">
    <w:name w:val="正文-公1"/>
    <w:basedOn w:val="1"/>
    <w:qFormat/>
    <w:uiPriority w:val="99"/>
    <w:pPr>
      <w:ind w:firstLine="200" w:firstLineChars="200"/>
    </w:pPr>
  </w:style>
  <w:style w:type="paragraph" w:customStyle="1" w:styleId="18">
    <w:name w:val="List Paragraph1"/>
    <w:basedOn w:val="1"/>
    <w:uiPriority w:val="99"/>
    <w:pPr>
      <w:ind w:firstLine="420" w:firstLineChars="200"/>
    </w:pPr>
  </w:style>
  <w:style w:type="paragraph" w:customStyle="1" w:styleId="19">
    <w:name w:val="WPSOffice手动目录 1"/>
    <w:uiPriority w:val="99"/>
    <w:rPr>
      <w:rFonts w:ascii="Times New Roman" w:hAnsi="Times New Roman" w:eastAsia="宋体" w:cs="Times New Roman"/>
      <w:kern w:val="0"/>
      <w:sz w:val="20"/>
      <w:szCs w:val="20"/>
      <w:lang w:val="en-US" w:eastAsia="zh-CN" w:bidi="ar-SA"/>
    </w:rPr>
  </w:style>
  <w:style w:type="paragraph" w:customStyle="1" w:styleId="20">
    <w:name w:val="WPSOffice手动目录 2"/>
    <w:qFormat/>
    <w:uiPriority w:val="99"/>
    <w:pPr>
      <w:ind w:left="200" w:leftChars="200"/>
    </w:pPr>
    <w:rPr>
      <w:rFonts w:ascii="Times New Roman" w:hAnsi="Times New Roman" w:eastAsia="宋体" w:cs="Times New Roman"/>
      <w:kern w:val="0"/>
      <w:sz w:val="20"/>
      <w:szCs w:val="20"/>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4.xml"/><Relationship Id="rId7" Type="http://schemas.openxmlformats.org/officeDocument/2006/relationships/footer" Target="footer3.xml"/><Relationship Id="rId6" Type="http://schemas.openxmlformats.org/officeDocument/2006/relationships/header" Target="header2.xml"/><Relationship Id="rId5" Type="http://schemas.openxmlformats.org/officeDocument/2006/relationships/footer" Target="footer2.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5" Type="http://schemas.openxmlformats.org/officeDocument/2006/relationships/fontTable" Target="fontTable.xml"/><Relationship Id="rId14" Type="http://schemas.openxmlformats.org/officeDocument/2006/relationships/numbering" Target="numbering.xml"/><Relationship Id="rId13" Type="http://schemas.openxmlformats.org/officeDocument/2006/relationships/customXml" Target="../customXml/item1.xml"/><Relationship Id="rId12" Type="http://schemas.openxmlformats.org/officeDocument/2006/relationships/image" Target="media/image3.jpeg"/><Relationship Id="rId11" Type="http://schemas.openxmlformats.org/officeDocument/2006/relationships/image" Target="media/image2.jpeg"/><Relationship Id="rId10" Type="http://schemas.openxmlformats.org/officeDocument/2006/relationships/image" Target="media/image1.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2050" textRotate="1"/>
    <customShpInfo spid="_x0000_s2051" textRotate="1"/>
    <customShpInfo spid="_x0000_s1026"/>
    <customShpInfo spid="_x0000_s1027"/>
    <customShpInfo spid="_x0000_s1028"/>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Normal_Wordconv</Template>
  <Pages>76</Pages>
  <Words>40091</Words>
  <Characters>41043</Characters>
  <Lines>0</Lines>
  <Paragraphs>0</Paragraphs>
  <TotalTime>3</TotalTime>
  <ScaleCrop>false</ScaleCrop>
  <LinksUpToDate>false</LinksUpToDate>
  <CharactersWithSpaces>41593</CharactersWithSpaces>
  <Application>WPS Office_11.1.0.12598_F1E327BC-269C-435d-A152-05C5408002CA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2020-08-13T03:18:00Z</dcterms:created>
  <dc:creator>不离大道</dc:creator>
  <cp:lastModifiedBy>we  are friends</cp:lastModifiedBy>
  <cp:lastPrinted>2020-12-31T06:21:00Z</cp:lastPrinted>
  <dcterms:modified xsi:type="dcterms:W3CDTF">2022-11-04T03:41:05Z</dcterms:modified>
  <dc:title>目  录</dc:title>
  <cp:revision>13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2052-11.1.0.12598</vt:lpwstr>
  </property>
  <property fmtid="{D5CDD505-2E9C-101B-9397-08002B2CF9AE}" pid="3" name="ICV">
    <vt:lpwstr>D702BCEB92F64144B6F8C0FA211DEBF1</vt:lpwstr>
  </property>
</Properties>
</file>